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UDC"/>
        <w:rPr/>
      </w:pPr>
      <w:r>
        <w:rPr/>
        <w:t>УДК 622.741.3.022;622.7;620.133</w:t>
        <w:tab/>
        <w:t xml:space="preserve">д.т.н., проф. </w:t>
      </w:r>
      <w:r>
        <w:rPr>
          <w:b/>
        </w:rPr>
        <w:t>Ім’я Прізвище</w:t>
      </w:r>
      <w:r>
        <w:rPr/>
        <w:t>,</w:t>
      </w:r>
    </w:p>
    <w:p>
      <w:pPr>
        <w:pStyle w:val="Authors"/>
        <w:rPr>
          <w:rStyle w:val="Hyperlink"/>
          <w:color w:val="auto"/>
          <w:u w:val="none"/>
        </w:rPr>
      </w:pPr>
      <w:bookmarkStart w:id="0" w:name="_Hlk149243347"/>
      <w:r>
        <w:rPr/>
        <w:t>електронна</w:t>
      </w:r>
      <w:r>
        <w:rPr>
          <w:rStyle w:val="Hyperlink"/>
          <w:color w:val="auto"/>
          <w:u w:val="none"/>
        </w:rPr>
        <w:t>@адреса, ORCID: 0000-0000-00000-0000,</w:t>
      </w:r>
      <w:bookmarkEnd w:id="0"/>
    </w:p>
    <w:p>
      <w:pPr>
        <w:pStyle w:val="Authors"/>
        <w:rPr>
          <w:b/>
          <w:sz w:val="32"/>
          <w:szCs w:val="32"/>
        </w:rPr>
      </w:pPr>
      <w:r>
        <w:rPr>
          <w:rStyle w:val="Hyperlink"/>
          <w:color w:val="auto"/>
          <w:u w:val="none"/>
        </w:rPr>
        <w:t xml:space="preserve">к.п.н., доц. </w:t>
      </w:r>
      <w:r>
        <w:rPr>
          <w:b/>
        </w:rPr>
        <w:t>Ім’я Прізвище,</w:t>
      </w:r>
    </w:p>
    <w:p>
      <w:pPr>
        <w:pStyle w:val="Authors"/>
        <w:rPr>
          <w:rStyle w:val="Hyperlink"/>
          <w:color w:val="auto"/>
          <w:u w:val="none"/>
        </w:rPr>
      </w:pPr>
      <w:r>
        <w:rPr/>
        <w:t>електронна</w:t>
      </w:r>
      <w:r>
        <w:rPr>
          <w:rStyle w:val="Hyperlink"/>
          <w:color w:val="auto"/>
          <w:u w:val="none"/>
        </w:rPr>
        <w:t>@адреса, ORCID: 0000-0000-00000-0000,</w:t>
      </w:r>
    </w:p>
    <w:p>
      <w:pPr>
        <w:pStyle w:val="Authors"/>
        <w:rPr>
          <w:b/>
          <w:sz w:val="32"/>
          <w:szCs w:val="32"/>
        </w:rPr>
      </w:pPr>
      <w:r>
        <w:rPr>
          <w:rStyle w:val="Hyperlink"/>
          <w:color w:val="auto"/>
          <w:u w:val="none"/>
        </w:rPr>
        <w:t xml:space="preserve">асист. </w:t>
      </w:r>
      <w:r>
        <w:rPr>
          <w:b/>
        </w:rPr>
        <w:t>Ім’я Прізвище,</w:t>
      </w:r>
    </w:p>
    <w:p>
      <w:pPr>
        <w:pStyle w:val="Authors"/>
        <w:rPr>
          <w:rStyle w:val="Hyperlink"/>
          <w:color w:val="auto"/>
          <w:u w:val="none"/>
        </w:rPr>
      </w:pPr>
      <w:r>
        <w:rPr/>
        <w:t>електронна</w:t>
      </w:r>
      <w:r>
        <w:rPr>
          <w:rStyle w:val="Hyperlink"/>
          <w:color w:val="auto"/>
          <w:u w:val="none"/>
        </w:rPr>
        <w:t>@адреса, ORCID: 0000-0000-00000-0000,</w:t>
      </w:r>
    </w:p>
    <w:p>
      <w:pPr>
        <w:pStyle w:val="Authors"/>
        <w:rPr/>
      </w:pPr>
      <w:r>
        <w:rPr/>
        <w:t>Повна назва організації, де працюють всі автори вище</w:t>
      </w:r>
    </w:p>
    <w:p>
      <w:pPr>
        <w:pStyle w:val="Authors"/>
        <w:rPr/>
      </w:pPr>
      <w:r>
        <w:rPr>
          <w:bCs w:val="false"/>
        </w:rPr>
        <w:t>інж.</w:t>
      </w:r>
      <w:r>
        <w:rPr>
          <w:b/>
        </w:rPr>
        <w:t xml:space="preserve"> Ім’я Прізвище,</w:t>
      </w:r>
    </w:p>
    <w:p>
      <w:pPr>
        <w:pStyle w:val="Authors"/>
        <w:rPr>
          <w:rStyle w:val="Hyperlink"/>
          <w:color w:val="auto"/>
          <w:u w:val="none"/>
        </w:rPr>
      </w:pPr>
      <w:r>
        <w:rPr/>
        <w:t>електронна</w:t>
      </w:r>
      <w:r>
        <w:rPr>
          <w:rStyle w:val="Hyperlink"/>
          <w:color w:val="auto"/>
          <w:u w:val="none"/>
        </w:rPr>
        <w:t>@адреса, ORCID: 0000-0000-00000-0000,</w:t>
      </w:r>
    </w:p>
    <w:p>
      <w:pPr>
        <w:pStyle w:val="Authors"/>
        <w:rPr/>
      </w:pPr>
      <w:r>
        <w:rPr/>
        <w:t>Повна назва іншої організації</w:t>
      </w:r>
    </w:p>
    <w:p>
      <w:pPr>
        <w:pStyle w:val="Authors"/>
        <w:rPr/>
      </w:pPr>
      <w:r>
        <w:rPr/>
        <w:t>…</w:t>
      </w:r>
    </w:p>
    <w:p>
      <w:pPr>
        <w:pStyle w:val="Normal"/>
        <w:rPr>
          <w:rFonts w:cs="Times New Roman"/>
          <w:szCs w:val="28"/>
        </w:rPr>
      </w:pPr>
      <w:r>
        <w:rPr>
          <w:rFonts w:cs="Times New Roman"/>
          <w:szCs w:val="28"/>
        </w:rPr>
      </w:r>
    </w:p>
    <w:p>
      <w:pPr>
        <w:pStyle w:val="Title"/>
        <w:rPr/>
      </w:pPr>
      <w:r>
        <w:rPr>
          <w:lang w:val="ru-RU"/>
        </w:rPr>
        <w:t>Назва статт</w:t>
      </w:r>
      <w:r>
        <w:rPr/>
        <w:t>і без крапки наприкінці</w:t>
      </w:r>
    </w:p>
    <w:p>
      <w:pPr>
        <w:pStyle w:val="Normal"/>
        <w:tabs>
          <w:tab w:val="clear" w:pos="709"/>
          <w:tab w:val="left" w:pos="7888" w:leader="none"/>
        </w:tabs>
        <w:rPr>
          <w:rFonts w:cs="Times New Roman"/>
          <w:i/>
          <w:i/>
          <w:szCs w:val="28"/>
        </w:rPr>
      </w:pPr>
      <w:r>
        <w:rPr>
          <w:rFonts w:cs="Times New Roman"/>
          <w:i/>
          <w:szCs w:val="28"/>
        </w:rPr>
      </w:r>
    </w:p>
    <w:p>
      <w:pPr>
        <w:pStyle w:val="Abstract"/>
        <w:rPr>
          <w:iCs/>
        </w:rPr>
      </w:pPr>
      <w:r>
        <w:rPr/>
        <w:t xml:space="preserve">Наводиться анотація обсягом 100…250 слів мовою статті. </w:t>
      </w:r>
    </w:p>
    <w:p>
      <w:pPr>
        <w:pStyle w:val="Abstract"/>
        <w:rPr/>
      </w:pPr>
      <w:r>
        <w:rPr/>
        <w:t xml:space="preserve">Ключові слова: наводяться від трьох до восьми ключових слів або словосполучень через крапку з комою, за якими можна знайти статтю. Слід уникати довгих словосполучень. </w:t>
      </w:r>
    </w:p>
    <w:p>
      <w:pPr>
        <w:pStyle w:val="Normal"/>
        <w:rPr>
          <w:rFonts w:eastAsia="Times New Roman" w:cs="Times New Roman"/>
          <w:color w:val="000000"/>
          <w:szCs w:val="28"/>
        </w:rPr>
      </w:pPr>
      <w:bookmarkStart w:id="1" w:name="_Hlk149297216"/>
      <w:r>
        <w:rPr>
          <w:rFonts w:eastAsia="Times New Roman" w:cs="Times New Roman"/>
          <w:b/>
          <w:iCs/>
          <w:color w:val="000000"/>
          <w:szCs w:val="28"/>
        </w:rPr>
        <w:t xml:space="preserve">Вступ </w:t>
      </w:r>
      <w:r>
        <w:rPr>
          <w:rFonts w:eastAsia="Times New Roman" w:cs="Times New Roman"/>
          <w:bCs/>
          <w:iCs/>
          <w:color w:val="000000"/>
          <w:szCs w:val="28"/>
        </w:rPr>
        <w:t>або</w:t>
      </w:r>
      <w:r>
        <w:rPr>
          <w:rFonts w:eastAsia="Times New Roman" w:cs="Times New Roman"/>
          <w:b/>
          <w:iCs/>
          <w:color w:val="000000"/>
          <w:szCs w:val="28"/>
        </w:rPr>
        <w:t xml:space="preserve"> Постановка проблеми</w:t>
      </w:r>
      <w:bookmarkStart w:id="2" w:name="_Hlk137750940"/>
      <w:r>
        <w:rPr>
          <w:rFonts w:eastAsia="Times New Roman" w:cs="Times New Roman"/>
          <w:i/>
          <w:iCs/>
          <w:color w:val="000000"/>
          <w:szCs w:val="28"/>
        </w:rPr>
        <w:t xml:space="preserve">. </w:t>
      </w:r>
      <w:bookmarkEnd w:id="2"/>
      <w:r>
        <w:rPr>
          <w:rFonts w:eastAsia="Times New Roman" w:cs="Times New Roman"/>
          <w:color w:val="000000"/>
          <w:szCs w:val="28"/>
        </w:rPr>
        <w:t>Містить загальну постановку проблеми та зв’язок її з практичними завданнями</w:t>
      </w:r>
      <w:r>
        <w:rPr>
          <w:rFonts w:eastAsia="Times New Roman" w:cs="Times New Roman"/>
          <w:color w:val="000000"/>
          <w:szCs w:val="28"/>
          <w:lang w:val="ru-RU"/>
        </w:rPr>
        <w:t xml:space="preserve"> (</w:t>
      </w:r>
      <w:r>
        <w:rPr>
          <w:rFonts w:eastAsia="Times New Roman" w:cs="Times New Roman"/>
          <w:color w:val="000000"/>
          <w:szCs w:val="28"/>
        </w:rPr>
        <w:t>типовий стиль)</w:t>
      </w:r>
      <w:bookmarkEnd w:id="1"/>
    </w:p>
    <w:p>
      <w:pPr>
        <w:pStyle w:val="Normal"/>
        <w:rPr>
          <w:rFonts w:cs="Times New Roman"/>
          <w:szCs w:val="28"/>
          <w:lang w:val="ru-RU"/>
        </w:rPr>
      </w:pPr>
      <w:r>
        <w:rPr>
          <w:rFonts w:cs="Times New Roman"/>
          <w:b/>
          <w:bCs/>
          <w:szCs w:val="28"/>
        </w:rPr>
        <w:t>Актуальність дослідження</w:t>
      </w:r>
      <w:r>
        <w:rPr>
          <w:rFonts w:cs="Times New Roman"/>
          <w:szCs w:val="28"/>
        </w:rPr>
        <w:t xml:space="preserve">. Формулювання актуальності роботи </w:t>
      </w:r>
      <w:r>
        <w:rPr>
          <w:rFonts w:eastAsia="Times New Roman" w:cs="Times New Roman"/>
          <w:color w:val="000000"/>
          <w:szCs w:val="28"/>
          <w:lang w:val="ru-RU"/>
        </w:rPr>
        <w:t>(</w:t>
      </w:r>
      <w:r>
        <w:rPr>
          <w:rFonts w:eastAsia="Times New Roman" w:cs="Times New Roman"/>
          <w:color w:val="000000"/>
          <w:szCs w:val="28"/>
        </w:rPr>
        <w:t>типовий стиль)</w:t>
      </w:r>
      <w:r>
        <w:rPr>
          <w:rFonts w:cs="Times New Roman"/>
          <w:szCs w:val="28"/>
          <w:lang w:val="ru-RU"/>
        </w:rPr>
        <w:t>.</w:t>
      </w:r>
    </w:p>
    <w:p>
      <w:pPr>
        <w:pStyle w:val="Normal"/>
        <w:rPr>
          <w:rFonts w:eastAsia="Times New Roman" w:cs="Times New Roman"/>
          <w:bCs/>
          <w:iCs/>
          <w:color w:val="000000"/>
          <w:szCs w:val="28"/>
        </w:rPr>
      </w:pPr>
      <w:r>
        <w:rPr>
          <w:rFonts w:eastAsia="Times New Roman" w:cs="Times New Roman"/>
          <w:b/>
          <w:iCs/>
          <w:color w:val="000000"/>
          <w:szCs w:val="28"/>
        </w:rPr>
        <w:t>Останні дослідження та публікації</w:t>
      </w:r>
      <w:r>
        <w:rPr>
          <w:rFonts w:eastAsia="Times New Roman" w:cs="Times New Roman"/>
          <w:bCs/>
          <w:iCs/>
          <w:color w:val="000000"/>
          <w:szCs w:val="28"/>
        </w:rPr>
        <w:t xml:space="preserve">. Короткий аналіз стану проблеми з виділенням невирішених її частин, розглянутих в даній роботі </w:t>
      </w:r>
      <w:r>
        <w:rPr>
          <w:rFonts w:eastAsia="Times New Roman" w:cs="Times New Roman"/>
          <w:color w:val="000000"/>
          <w:szCs w:val="28"/>
          <w:lang w:val="ru-RU"/>
        </w:rPr>
        <w:t>(</w:t>
      </w:r>
      <w:r>
        <w:rPr>
          <w:rFonts w:eastAsia="Times New Roman" w:cs="Times New Roman"/>
          <w:color w:val="000000"/>
          <w:szCs w:val="28"/>
        </w:rPr>
        <w:t>типовий стиль)</w:t>
      </w:r>
      <w:r>
        <w:rPr>
          <w:rFonts w:eastAsia="Times New Roman" w:cs="Times New Roman"/>
          <w:bCs/>
          <w:iCs/>
          <w:color w:val="000000"/>
          <w:szCs w:val="28"/>
        </w:rPr>
        <w:t xml:space="preserve">. </w:t>
      </w:r>
    </w:p>
    <w:p>
      <w:pPr>
        <w:pStyle w:val="Normal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b/>
          <w:bCs/>
          <w:color w:val="000000"/>
          <w:szCs w:val="28"/>
        </w:rPr>
        <w:t>Формулювання цілей статті</w:t>
      </w:r>
      <w:r>
        <w:rPr>
          <w:rFonts w:eastAsia="Times New Roman" w:cs="Times New Roman"/>
          <w:color w:val="000000"/>
          <w:szCs w:val="28"/>
        </w:rPr>
        <w:t>. Має коротко виражати цілі дослідження з наголошенням корисності роботи для зацікавлення читача (типовий стиль).</w:t>
      </w:r>
    </w:p>
    <w:p>
      <w:pPr>
        <w:pStyle w:val="Normal"/>
        <w:rPr>
          <w:rFonts w:eastAsia="Times New Roman" w:cs="Times New Roman"/>
          <w:color w:val="000000"/>
          <w:szCs w:val="28"/>
          <w:lang w:val="ru-RU"/>
        </w:rPr>
      </w:pPr>
      <w:r>
        <w:rPr>
          <w:rFonts w:eastAsia="Times New Roman" w:cs="Times New Roman"/>
          <w:b/>
          <w:iCs/>
          <w:color w:val="000000"/>
          <w:szCs w:val="28"/>
        </w:rPr>
        <w:t>Основна частина.</w:t>
      </w:r>
      <w:r>
        <w:rPr>
          <w:rFonts w:eastAsia="Times New Roman" w:cs="Times New Roman"/>
          <w:i/>
          <w:iCs/>
          <w:color w:val="000000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Виклад основного матеріалу статті. За необхідності більш детальної рубрикації основної частини назва рубрики “Основна частина” може не наводитися, якщо з назви першої рубрики однозначно зрозуміло, що вона належить основній частині. (Стандартний стиль)</w:t>
      </w:r>
      <w:r>
        <w:rPr>
          <w:rFonts w:eastAsia="Times New Roman" w:cs="Times New Roman"/>
          <w:color w:val="000000"/>
          <w:szCs w:val="28"/>
          <w:lang w:val="ru-RU"/>
        </w:rPr>
        <w:t>.</w:t>
      </w:r>
    </w:p>
    <w:p>
      <w:pPr>
        <w:pStyle w:val="Normal"/>
        <w:rPr>
          <w:rFonts w:eastAsia="Times New Roman" w:cs="Times New Roman"/>
          <w:color w:val="000000"/>
          <w:szCs w:val="28"/>
          <w:lang w:val="ru-RU"/>
        </w:rPr>
      </w:pPr>
      <w:r>
        <w:rPr>
          <w:rFonts w:eastAsia="Times New Roman" w:cs="Times New Roman"/>
          <w:color w:val="000000"/>
          <w:szCs w:val="28"/>
        </w:rPr>
        <w:t xml:space="preserve">Формули оформлюють у внутрішньому редакторі </w:t>
      </w:r>
      <w:r>
        <w:rPr>
          <w:rFonts w:eastAsia="Times New Roman" w:cs="Times New Roman"/>
          <w:color w:val="000000"/>
          <w:szCs w:val="28"/>
          <w:lang w:val="en-US"/>
        </w:rPr>
        <w:t>Word</w:t>
      </w:r>
      <w:r>
        <w:rPr>
          <w:rFonts w:eastAsia="Times New Roman" w:cs="Times New Roman"/>
          <w:color w:val="000000"/>
          <w:szCs w:val="28"/>
        </w:rPr>
        <w:t xml:space="preserve">, </w:t>
      </w:r>
      <w:r>
        <w:rPr>
          <w:rFonts w:eastAsia="Times New Roman" w:cs="Times New Roman"/>
          <w:color w:val="000000"/>
          <w:szCs w:val="28"/>
          <w:lang w:val="en-US"/>
        </w:rPr>
        <w:t>MS</w:t>
      </w:r>
      <w:r>
        <w:rPr>
          <w:rFonts w:eastAsia="Times New Roman" w:cs="Times New Roman"/>
          <w:color w:val="000000"/>
          <w:szCs w:val="28"/>
          <w:lang w:val="ru-RU"/>
        </w:rPr>
        <w:t xml:space="preserve"> </w:t>
      </w:r>
      <w:r>
        <w:rPr>
          <w:rFonts w:eastAsia="Times New Roman" w:cs="Times New Roman"/>
          <w:color w:val="000000"/>
          <w:szCs w:val="28"/>
          <w:lang w:val="en-US"/>
        </w:rPr>
        <w:t>Equation</w:t>
      </w:r>
      <w:r>
        <w:rPr>
          <w:rFonts w:eastAsia="Times New Roman" w:cs="Times New Roman"/>
          <w:color w:val="000000"/>
          <w:szCs w:val="28"/>
          <w:lang w:val="ru-RU"/>
        </w:rPr>
        <w:t xml:space="preserve">, </w:t>
      </w:r>
      <w:r>
        <w:rPr>
          <w:rFonts w:eastAsia="Times New Roman" w:cs="Times New Roman"/>
          <w:color w:val="000000"/>
          <w:szCs w:val="28"/>
          <w:lang w:val="en-US"/>
        </w:rPr>
        <w:t>MarthType</w:t>
      </w:r>
      <w:r>
        <w:rPr>
          <w:rFonts w:eastAsia="Times New Roman" w:cs="Times New Roman"/>
          <w:color w:val="000000"/>
          <w:szCs w:val="28"/>
          <w:lang w:val="ru-RU"/>
        </w:rPr>
        <w:t xml:space="preserve">, </w:t>
      </w:r>
      <w:r>
        <w:rPr>
          <w:rFonts w:eastAsia="Times New Roman" w:cs="Times New Roman"/>
          <w:color w:val="000000"/>
          <w:szCs w:val="28"/>
          <w:lang w:val="en-US"/>
        </w:rPr>
        <w:t>LibreOffice</w:t>
      </w:r>
      <w:r>
        <w:rPr>
          <w:rFonts w:eastAsia="Times New Roman" w:cs="Times New Roman"/>
          <w:color w:val="000000"/>
          <w:szCs w:val="28"/>
          <w:lang w:val="ru-RU"/>
        </w:rPr>
        <w:t xml:space="preserve"> </w:t>
      </w:r>
      <w:r>
        <w:rPr>
          <w:rFonts w:eastAsia="Times New Roman" w:cs="Times New Roman"/>
          <w:color w:val="000000"/>
          <w:szCs w:val="28"/>
          <w:lang w:val="en-US"/>
        </w:rPr>
        <w:t>Math</w:t>
      </w:r>
      <w:r>
        <w:rPr>
          <w:rFonts w:eastAsia="Times New Roman" w:cs="Times New Roman"/>
          <w:color w:val="000000"/>
          <w:szCs w:val="28"/>
          <w:lang w:val="ru-RU"/>
        </w:rPr>
        <w:t xml:space="preserve">, </w:t>
      </w:r>
      <w:r>
        <w:rPr>
          <w:rFonts w:eastAsia="Times New Roman" w:cs="Times New Roman"/>
          <w:color w:val="000000"/>
          <w:szCs w:val="28"/>
          <w:lang w:val="en-US"/>
        </w:rPr>
        <w:t>Tex</w:t>
      </w:r>
      <w:r>
        <w:rPr>
          <w:rFonts w:eastAsia="Times New Roman" w:cs="Times New Roman"/>
          <w:color w:val="000000"/>
          <w:szCs w:val="28"/>
          <w:lang w:val="ru-RU"/>
        </w:rPr>
        <w:t>/</w:t>
      </w:r>
      <w:r>
        <w:rPr>
          <w:rFonts w:eastAsia="Times New Roman" w:cs="Times New Roman"/>
          <w:color w:val="000000"/>
          <w:szCs w:val="28"/>
          <w:lang w:val="en-US"/>
        </w:rPr>
        <w:t>Latex</w:t>
      </w:r>
      <w:r>
        <w:rPr>
          <w:rFonts w:eastAsia="Times New Roman" w:cs="Times New Roman"/>
          <w:color w:val="000000"/>
          <w:szCs w:val="28"/>
          <w:lang w:val="ru-RU"/>
        </w:rPr>
        <w:t xml:space="preserve"> </w:t>
      </w:r>
      <w:r>
        <w:rPr>
          <w:rFonts w:eastAsia="Times New Roman" w:cs="Times New Roman"/>
          <w:color w:val="000000"/>
          <w:szCs w:val="28"/>
          <w:lang w:val="en-US"/>
        </w:rPr>
        <w:t>Plugin</w:t>
      </w:r>
      <w:r>
        <w:rPr>
          <w:rFonts w:eastAsia="Times New Roman" w:cs="Times New Roman"/>
          <w:color w:val="000000"/>
          <w:szCs w:val="28"/>
          <w:lang w:val="ru-RU"/>
        </w:rPr>
        <w:t xml:space="preserve"> або </w:t>
      </w:r>
      <w:r>
        <w:rPr>
          <w:rFonts w:eastAsia="Times New Roman" w:cs="Times New Roman"/>
          <w:color w:val="000000"/>
          <w:szCs w:val="28"/>
        </w:rPr>
        <w:t>будь-якому іншому редакторі формул</w:t>
      </w:r>
      <w:r>
        <w:rPr>
          <w:rFonts w:eastAsia="Times New Roman" w:cs="Times New Roman"/>
          <w:color w:val="000000"/>
          <w:szCs w:val="28"/>
          <w:lang w:val="ru-RU"/>
        </w:rPr>
        <w:t xml:space="preserve">. Прості формули можна набирати текстом, але занадто одвгі формули, з великою математичних символів та дужок потрібно набирати тільки в редакторі формул!. </w:t>
      </w:r>
      <w:r>
        <w:rPr>
          <w:rFonts w:eastAsia="Times New Roman" w:cs="Times New Roman"/>
          <w:b/>
          <w:bCs/>
          <w:color w:val="000000"/>
          <w:szCs w:val="28"/>
          <w:lang w:val="ru-RU"/>
        </w:rPr>
        <w:t>Зокрема, наведена формула (1) неправильно оформлена.</w:t>
      </w:r>
    </w:p>
    <w:p>
      <w:pPr>
        <w:pStyle w:val="Normal"/>
        <w:rPr>
          <w:rFonts w:eastAsia="Times New Roman" w:cs="Times New Roman"/>
          <w:color w:val="000000"/>
          <w:szCs w:val="28"/>
          <w:lang w:val="ru-RU"/>
        </w:rPr>
      </w:pPr>
      <w:r>
        <w:rPr>
          <w:rFonts w:eastAsia="Times New Roman" w:cs="Times New Roman"/>
          <w:color w:val="000000"/>
          <w:szCs w:val="28"/>
          <w:lang w:val="ru-RU"/>
        </w:rPr>
      </w:r>
    </w:p>
    <w:p>
      <w:pPr>
        <w:pStyle w:val="Equation"/>
        <w:rPr>
          <w:lang w:val="en-US"/>
        </w:rPr>
      </w:pPr>
      <w:r>
        <w:rPr/>
        <w:tab/>
      </w:r>
      <w:r>
        <w:rPr>
          <w:lang w:val="en-US"/>
        </w:rPr>
        <w:t>(((</w:t>
      </w:r>
      <w:r>
        <w:rPr>
          <w:i/>
          <w:iCs/>
          <w:lang w:val="en-US"/>
        </w:rPr>
        <w:t>a</w:t>
      </w:r>
      <w:r>
        <w:rPr>
          <w:lang w:val="en-US"/>
        </w:rPr>
        <w:t xml:space="preserve"> + </w:t>
      </w:r>
      <w:r>
        <w:rPr>
          <w:i/>
          <w:iCs/>
          <w:lang w:val="en-US"/>
        </w:rPr>
        <w:t>b</w:t>
      </w:r>
      <w:r>
        <w:rPr>
          <w:lang w:val="en-US"/>
        </w:rPr>
        <w:t>)/</w:t>
      </w:r>
      <w:r>
        <w:rPr>
          <w:i/>
          <w:iCs/>
        </w:rPr>
        <w:t>с</w:t>
      </w:r>
      <w:r>
        <w:rPr>
          <w:lang w:val="en-US"/>
        </w:rPr>
        <w:t>) – ((</w:t>
      </w:r>
      <w:r>
        <w:rPr>
          <w:i/>
          <w:iCs/>
          <w:lang w:val="en-US"/>
        </w:rPr>
        <w:t>x</w:t>
      </w:r>
      <w:r>
        <w:rPr>
          <w:lang w:val="en-US"/>
        </w:rPr>
        <w:t xml:space="preserve"> + </w:t>
      </w:r>
      <w:r>
        <w:rPr>
          <w:i/>
          <w:iCs/>
          <w:lang w:val="en-US"/>
        </w:rPr>
        <w:t>y</w:t>
      </w:r>
      <w:r>
        <w:rPr>
          <w:lang w:val="en-US"/>
        </w:rPr>
        <w:t>)/2,5))/((</w:t>
      </w:r>
      <w:r>
        <w:rPr>
          <w:i/>
          <w:iCs/>
          <w:lang w:val="en-US"/>
        </w:rPr>
        <w:t>a</w:t>
      </w:r>
      <w:r>
        <w:rPr>
          <w:lang w:val="en-US"/>
        </w:rPr>
        <w:t xml:space="preserve"> – </w:t>
      </w:r>
      <w:r>
        <w:rPr>
          <w:i/>
          <w:iCs/>
          <w:lang w:val="en-US"/>
        </w:rPr>
        <w:t>b</w:t>
      </w:r>
      <w:r>
        <w:rPr>
          <w:lang w:val="en-US"/>
        </w:rPr>
        <w:t>)/</w:t>
      </w:r>
      <w:r>
        <w:rPr>
          <w:i/>
          <w:iCs/>
        </w:rPr>
        <w:t>с</w:t>
      </w:r>
      <w:r>
        <w:rPr>
          <w:lang w:val="en-US"/>
        </w:rPr>
        <w:t xml:space="preserve">) </w:t>
      </w:r>
      <w:bookmarkStart w:id="3" w:name="_Hlk149300688"/>
      <w:r>
        <w:rPr>
          <w:lang w:val="en-US"/>
        </w:rPr>
        <w:t>–</w:t>
      </w:r>
      <w:bookmarkEnd w:id="3"/>
      <w:r>
        <w:rPr>
          <w:lang w:val="en-US"/>
        </w:rPr>
        <w:t xml:space="preserve"> </w:t>
      </w:r>
      <w:bookmarkStart w:id="4" w:name="_Hlk149298415"/>
      <w:r>
        <w:rPr>
          <w:lang w:val="en-US"/>
        </w:rPr>
        <w:t>((</w:t>
      </w:r>
      <w:r>
        <w:rPr>
          <w:i/>
          <w:iCs/>
          <w:lang w:val="en-US"/>
        </w:rPr>
        <w:t>x</w:t>
      </w:r>
      <w:r>
        <w:rPr>
          <w:lang w:val="en-US"/>
        </w:rPr>
        <w:t xml:space="preserve"> + </w:t>
      </w:r>
      <w:r>
        <w:rPr>
          <w:i/>
          <w:iCs/>
          <w:lang w:val="en-US"/>
        </w:rPr>
        <w:t>y</w:t>
      </w:r>
      <w:r>
        <w:rPr>
          <w:lang w:val="en-US"/>
        </w:rPr>
        <w:t>)/2,5)</w:t>
      </w:r>
      <w:bookmarkEnd w:id="4"/>
      <w:r>
        <w:rPr>
          <w:lang w:val="en-US"/>
        </w:rPr>
        <w:t>))((</w:t>
      </w:r>
      <w:r>
        <w:rPr>
          <w:i/>
          <w:iCs/>
          <w:lang w:val="en-US"/>
        </w:rPr>
        <w:t>x</w:t>
      </w:r>
      <w:r>
        <w:rPr>
          <w:lang w:val="en-US"/>
        </w:rPr>
        <w:t xml:space="preserve"> + </w:t>
      </w:r>
      <w:r>
        <w:rPr>
          <w:i/>
          <w:iCs/>
          <w:lang w:val="en-US"/>
        </w:rPr>
        <w:t>y</w:t>
      </w:r>
      <w:r>
        <w:rPr>
          <w:lang w:val="en-US"/>
        </w:rPr>
        <w:t>)/1,5)(</w:t>
      </w:r>
      <w:r>
        <w:rPr>
          <w:i/>
          <w:iCs/>
          <w:lang w:val="en-US"/>
        </w:rPr>
        <w:t>a</w:t>
      </w:r>
      <w:r>
        <w:rPr>
          <w:lang w:val="en-US"/>
        </w:rPr>
        <w:t xml:space="preserve"> + </w:t>
      </w:r>
      <w:r>
        <w:rPr>
          <w:i/>
          <w:iCs/>
          <w:lang w:val="en-US"/>
        </w:rPr>
        <w:t>b</w:t>
      </w:r>
      <w:r>
        <w:rPr>
          <w:lang w:val="en-US"/>
        </w:rPr>
        <w:t>)/</w:t>
      </w:r>
      <w:r>
        <w:rPr>
          <w:i/>
          <w:iCs/>
        </w:rPr>
        <w:t>с</w:t>
      </w:r>
      <w:r>
        <w:rPr>
          <w:lang w:val="en-US"/>
        </w:rPr>
        <w:tab/>
        <w:t>(1)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Формули, що не вміщаються у рядок, переносять за знаком арифметичної дії з дублюванням знаку на наступному рядку. Не допускається перенесення рядку безпосередньо в дужках або чисельнику чи знаменнику. У першому випадку відкривають дужку в одному рядку, а закривають у іншому. У другому дріб подають як чисельник і знаменник у дужках через косу лінію. Знак множення для переносу «</w:t>
      </w:r>
      <w:r>
        <w:rPr>
          <w:rFonts w:cs="Times New Roman"/>
        </w:rPr>
        <w:t>×</w:t>
      </w:r>
      <w:r>
        <w:rPr/>
        <w:t>», для ділення – «</w:t>
      </w:r>
      <w:r>
        <w:rPr>
          <w:rFonts w:cs="Times New Roman"/>
        </w:rPr>
        <w:t>÷</w:t>
      </w:r>
      <w:r>
        <w:rPr/>
        <w:t>»</w:t>
      </w:r>
    </w:p>
    <w:p>
      <w:pPr>
        <w:pStyle w:val="Normal"/>
        <w:rPr>
          <w:b/>
          <w:bCs/>
          <w:lang w:val="ru-RU"/>
        </w:rPr>
      </w:pPr>
      <w:r>
        <w:rPr>
          <w:b/>
          <w:bCs/>
        </w:rPr>
        <w:t xml:space="preserve">Приклади правильно оформлених формул </w:t>
      </w:r>
      <w:r>
        <w:rPr>
          <w:b/>
          <w:bCs/>
          <w:i/>
          <w:iCs/>
        </w:rPr>
        <w:t xml:space="preserve">(стиль </w:t>
      </w:r>
      <w:r>
        <w:rPr>
          <w:b/>
          <w:bCs/>
          <w:i/>
          <w:iCs/>
          <w:lang w:val="en-US"/>
        </w:rPr>
        <w:t>Equation</w:t>
      </w:r>
      <w:r>
        <w:rPr>
          <w:b/>
          <w:bCs/>
          <w:i/>
          <w:iCs/>
          <w:lang w:val="ru-RU"/>
        </w:rPr>
        <w:t>)</w:t>
      </w:r>
    </w:p>
    <w:p>
      <w:pPr>
        <w:pStyle w:val="Normal"/>
        <w:rPr>
          <w:rFonts w:eastAsia="Times New Roman" w:cs="Times New Roman"/>
          <w:color w:val="000000"/>
          <w:szCs w:val="28"/>
          <w:lang w:val="ru-RU"/>
        </w:rPr>
      </w:pPr>
      <w:r>
        <w:rPr>
          <w:rFonts w:eastAsia="Times New Roman" w:cs="Times New Roman"/>
          <w:color w:val="000000"/>
          <w:szCs w:val="28"/>
          <w:lang w:val="ru-RU"/>
        </w:rPr>
      </w:r>
    </w:p>
    <w:p>
      <w:pPr>
        <w:pStyle w:val="Equation"/>
        <w:rPr/>
      </w:pPr>
      <w:r>
        <w:rPr/>
        <w:tab/>
      </w:r>
      <w:r>
        <w:rPr>
          <w:lang w:val="uk-UA"/>
        </w:rPr>
        <w:t>Δ</w:t>
      </w:r>
      <w:r>
        <w:rPr>
          <w:i/>
          <w:iCs/>
          <w:lang w:val="en-US"/>
        </w:rPr>
        <w:t>p</w:t>
      </w:r>
      <w:r>
        <w:rPr/>
        <w:t xml:space="preserve"> = </w:t>
      </w:r>
      <w:r>
        <w:rPr>
          <w:lang w:val="el-GR"/>
        </w:rPr>
        <w:t>λ (</w:t>
      </w:r>
      <w:r>
        <w:rPr>
          <w:i/>
          <w:iCs/>
          <w:lang w:val="el-GR"/>
        </w:rPr>
        <w:t>ℓ</w:t>
      </w:r>
      <w:r>
        <w:rPr/>
        <w:t>/</w:t>
      </w:r>
      <w:r>
        <w:rPr>
          <w:i/>
          <w:iCs/>
          <w:lang w:val="en-US"/>
        </w:rPr>
        <w:t>d</w:t>
      </w:r>
      <w:r>
        <w:rPr/>
        <w:t xml:space="preserve">) </w:t>
      </w:r>
      <w:r>
        <w:rPr>
          <w:lang w:val="el-GR"/>
        </w:rPr>
        <w:t>(ρ</w:t>
      </w:r>
      <w:r>
        <w:rPr>
          <w:i/>
          <w:iCs/>
          <w:lang w:val="el-GR"/>
        </w:rPr>
        <w:t xml:space="preserve"> </w:t>
      </w:r>
      <w:r>
        <w:rPr>
          <w:i/>
          <w:iCs/>
          <w:lang w:val="en-US"/>
        </w:rPr>
        <w:t>v</w:t>
      </w:r>
      <w:r>
        <w:rPr>
          <w:vertAlign w:val="superscript"/>
        </w:rPr>
        <w:t>2</w:t>
      </w:r>
      <w:r>
        <w:rPr/>
        <w:t>/2)</w:t>
        <w:tab/>
        <w:t>(2)</w:t>
      </w:r>
    </w:p>
    <w:p>
      <w:pPr>
        <w:pStyle w:val="Normal"/>
        <w:rPr/>
      </w:pPr>
      <w:r>
        <w:rPr/>
      </w:r>
    </w:p>
    <w:p>
      <w:pPr>
        <w:pStyle w:val="Equation"/>
        <w:rPr/>
      </w:pPr>
      <w:r>
        <w:rPr/>
        <w:tab/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R</m:t>
        </m:r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μ</m:t>
            </m:r>
          </m:e>
        </m:d>
        <m:r>
          <w:rPr>
            <w:rFonts w:ascii="Cambria Math" w:hAnsi="Cambria Math"/>
          </w:rPr>
          <m:t xml:space="preserve">=</m:t>
        </m:r>
        <m:sSup>
          <m:e>
            <m:d>
              <m:dPr>
                <m:begChr m:val="("/>
                <m:endChr m:val=")"/>
              </m:dPr>
              <m:e>
                <m:d>
                  <m:dPr>
                    <m:begChr m:val="("/>
                    <m:endChr m:val=")"/>
                  </m:dPr>
                  <m:e>
                    <m:nary>
                      <m:naryPr>
                        <m:chr m:val="∑"/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 xml:space="preserve">i</m:t>
                        </m:r>
                        <m:r>
                          <w:rPr>
                            <w:rFonts w:ascii="Cambria Math" w:hAnsi="Cambria Math"/>
                          </w:rPr>
                          <m:t xml:space="preserve">=</m:t>
                        </m:r>
                        <m:r>
                          <w:rPr>
                            <w:rFonts w:ascii="Cambria Math" w:hAnsi="Cambria Math"/>
                          </w:rPr>
                          <m:t xml:space="preserve">1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 xml:space="preserve">n</m:t>
                        </m:r>
                      </m:sup>
                      <m:e>
                        <m:sSup>
                          <m:e>
                            <m:d>
                              <m:dPr>
                                <m:begChr m:val="("/>
                                <m:endChr m:val=")"/>
                              </m:dPr>
                              <m:e>
                                <m:sSub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 xml:space="preserve">−</m:t>
                                </m:r>
                                <m:bar>
                                  <m:barPr>
                                    <m:pos m:val="top"/>
                                  </m:bar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x</m:t>
                                    </m:r>
                                  </m:e>
                                </m:ba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 xml:space="preserve">2</m:t>
                            </m:r>
                          </m:sup>
                        </m:sSup>
                      </m:e>
                    </m:nary>
                  </m:e>
                </m:d>
                <m:r>
                  <w:rPr>
                    <w:rFonts w:ascii="Cambria Math" w:hAnsi="Cambria Math"/>
                  </w:rPr>
                  <m:t xml:space="preserve">⋅</m:t>
                </m:r>
                <m:d>
                  <m:dPr>
                    <m:begChr m:val="("/>
                    <m:endChr m:val=")"/>
                  </m:dPr>
                  <m:e>
                    <m:nary>
                      <m:naryPr>
                        <m:chr m:val="∑"/>
                      </m:naryPr>
                      <m:sub>
                        <m:r>
                          <w:rPr>
                            <w:rFonts w:ascii="Cambria Math" w:hAnsi="Cambria Math"/>
                          </w:rPr>
                          <m:t xml:space="preserve">i</m:t>
                        </m:r>
                        <m:r>
                          <w:rPr>
                            <w:rFonts w:ascii="Cambria Math" w:hAnsi="Cambria Math"/>
                          </w:rPr>
                          <m:t xml:space="preserve">=</m:t>
                        </m:r>
                        <m:r>
                          <w:rPr>
                            <w:rFonts w:ascii="Cambria Math" w:hAnsi="Cambria Math"/>
                          </w:rPr>
                          <m:t xml:space="preserve">1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 xml:space="preserve">n</m:t>
                        </m:r>
                      </m:sup>
                      <m:e>
                        <m:sSup>
                          <m:e>
                            <m:d>
                              <m:dPr>
                                <m:begChr m:val="("/>
                                <m:endChr m:val=")"/>
                              </m:dPr>
                              <m:e>
                                <m:sSub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i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+</m:t>
                                    </m:r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μ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 xml:space="preserve">−</m:t>
                                </m:r>
                                <m:bar>
                                  <m:barPr>
                                    <m:pos m:val="top"/>
                                  </m:bar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x</m:t>
                                    </m:r>
                                  </m:e>
                                </m:bar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 xml:space="preserve">2</m:t>
                            </m:r>
                          </m:sup>
                        </m:sSup>
                      </m:e>
                    </m:nary>
                  </m:e>
                </m:d>
              </m:e>
            </m:d>
          </m:e>
          <m:sup>
            <m:f>
              <m:fPr>
                <m:type m:val="lin"/>
              </m:fPr>
              <m:num>
                <m:r>
                  <w:rPr>
                    <w:rFonts w:ascii="Cambria Math" w:hAnsi="Cambria Math"/>
                  </w:rPr>
                  <m:t xml:space="preserve">−</m:t>
                </m:r>
                <m:r>
                  <w:rPr>
                    <w:rFonts w:ascii="Cambria Math" w:hAnsi="Cambria Math"/>
                  </w:rPr>
                  <m:t xml:space="preserve">1</m:t>
                </m:r>
              </m:num>
              <m:den>
                <m:r>
                  <w:rPr>
                    <w:rFonts w:ascii="Cambria Math" w:hAnsi="Cambria Math"/>
                  </w:rPr>
                  <m:t xml:space="preserve">2</m:t>
                </m:r>
              </m:den>
            </m:f>
          </m:sup>
        </m:sSup>
        <m:r>
          <w:rPr>
            <w:rFonts w:ascii="Cambria Math" w:hAnsi="Cambria Math"/>
          </w:rPr>
          <m:t xml:space="preserve">⋅</m:t>
        </m:r>
        <m:d>
          <m:dPr>
            <m:begChr m:val="("/>
            <m:endChr m:val=""/>
          </m:dPr>
          <m:e>
            <m:d>
              <m:dPr>
                <m:begChr m:val="("/>
                <m:endChr m:val=")"/>
              </m:dPr>
              <m:e>
                <m:nary>
                  <m:naryPr>
                    <m:chr m:val="∑"/>
                  </m:naryPr>
                  <m:sub>
                    <m:r>
                      <w:rPr>
                        <w:rFonts w:ascii="Cambria Math" w:hAnsi="Cambria Math"/>
                      </w:rPr>
                      <m:t xml:space="preserve">i</m:t>
                    </m:r>
                    <m:r>
                      <w:rPr>
                        <w:rFonts w:ascii="Cambria Math" w:hAnsi="Cambria Math"/>
                      </w:rPr>
                      <m:t xml:space="preserve">=</m:t>
                    </m:r>
                    <m:r>
                      <w:rPr>
                        <w:rFonts w:ascii="Cambria Math" w:hAnsi="Cambria Math"/>
                      </w:rPr>
                      <m:t xml:space="preserve">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 xml:space="preserve">n</m:t>
                    </m:r>
                  </m:sup>
                  <m:e>
                    <m:d>
                      <m:dPr>
                        <m:begChr m:val="("/>
                        <m:endChr m:val=")"/>
                      </m:dPr>
                      <m:e>
                        <m:sSub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 xml:space="preserve"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 xml:space="preserve">−</m:t>
                        </m:r>
                        <m:bar>
                          <m:barPr>
                            <m:pos m:val="top"/>
                          </m:barPr>
                          <m:e>
                            <m:r>
                              <w:rPr>
                                <w:rFonts w:ascii="Cambria Math" w:hAnsi="Cambria Math"/>
                              </w:rPr>
                              <m:t xml:space="preserve">x</m:t>
                            </m:r>
                          </m:e>
                        </m:bar>
                      </m:e>
                    </m:d>
                  </m:e>
                </m:nary>
              </m:e>
            </m:d>
            <m:r>
              <w:rPr>
                <w:rFonts w:ascii="Cambria Math" w:hAnsi="Cambria Math"/>
              </w:rPr>
              <m:t xml:space="preserve">×</m:t>
            </m:r>
          </m:e>
        </m:d>
      </m:oMath>
    </w:p>
    <w:p>
      <w:pPr>
        <w:pStyle w:val="Equation"/>
        <w:rPr/>
      </w:pPr>
      <w:r>
        <w:rPr/>
        <w:tab/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×</m:t>
        </m:r>
        <m:nary>
          <m:naryPr>
            <m:chr m:val="∑"/>
          </m:naryPr>
          <m:sub>
            <m:r>
              <w:rPr>
                <w:rFonts w:ascii="Cambria Math" w:hAnsi="Cambria Math"/>
              </w:rPr>
              <m:t xml:space="preserve">i</m:t>
            </m:r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1</m:t>
            </m:r>
          </m:sub>
          <m:sup>
            <m:r>
              <w:rPr>
                <w:rFonts w:ascii="Cambria Math" w:hAnsi="Cambria Math"/>
              </w:rPr>
              <m:t xml:space="preserve">n</m:t>
            </m:r>
          </m:sup>
          <m:e>
            <m:d>
              <m:dPr>
                <m:begChr m:val="("/>
                <m:endChr m:val=")"/>
              </m:dPr>
              <m:e>
                <m:sSub>
                  <m:e>
                    <m:r>
                      <w:rPr>
                        <w:rFonts w:ascii="Cambria Math" w:hAnsi="Cambria Math"/>
                      </w:rPr>
                      <m:t xml:space="preserve"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i</m:t>
                    </m:r>
                    <m:r>
                      <w:rPr>
                        <w:rFonts w:ascii="Cambria Math" w:hAnsi="Cambria Math"/>
                      </w:rPr>
                      <m:t xml:space="preserve">+</m:t>
                    </m:r>
                    <m:r>
                      <w:rPr>
                        <w:rFonts w:ascii="Cambria Math" w:hAnsi="Cambria Math"/>
                      </w:rPr>
                      <m:t xml:space="preserve">μ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−</m:t>
                </m:r>
                <m:bar>
                  <m:barPr>
                    <m:pos m:val="top"/>
                  </m:barPr>
                  <m:e>
                    <m:r>
                      <w:rPr>
                        <w:rFonts w:ascii="Cambria Math" w:hAnsi="Cambria Math"/>
                      </w:rPr>
                      <m:t xml:space="preserve">x</m:t>
                    </m:r>
                  </m:e>
                </m:bar>
              </m:e>
            </m:d>
          </m:e>
        </m:nary>
        <m:r>
          <w:rPr>
            <w:rFonts w:ascii="Cambria Math" w:hAnsi="Cambria Math"/>
          </w:rPr>
          <m:t xml:space="preserve">,</m:t>
        </m:r>
      </m:oMath>
      <w:r>
        <w:rPr/>
        <w:tab/>
        <w:t>(3)</w:t>
      </w:r>
    </w:p>
    <w:p>
      <w:pPr>
        <w:pStyle w:val="Normal"/>
        <w:rPr/>
      </w:pPr>
      <w:r>
        <w:rPr/>
      </w:r>
    </w:p>
    <w:p>
      <w:pPr>
        <w:pStyle w:val="Where"/>
        <w:rPr/>
      </w:pPr>
      <w:r>
        <w:rPr/>
        <w:t xml:space="preserve">де </w:t>
      </w:r>
      <w:r>
        <w:rPr>
          <w:i/>
        </w:rPr>
        <w:t>х</w:t>
      </w:r>
      <w:r>
        <w:rPr/>
        <w:t xml:space="preserve"> – математичне сподівання забруднення повітря </w:t>
      </w:r>
      <w:r>
        <w:rPr>
          <w:i/>
        </w:rPr>
        <w:t>СО</w:t>
      </w:r>
      <w:r>
        <w:rPr>
          <w:i/>
          <w:vertAlign w:val="subscript"/>
        </w:rPr>
        <w:t>2</w:t>
      </w:r>
      <w:r>
        <w:rPr>
          <w:vertAlign w:val="subscript"/>
        </w:rPr>
        <w:t xml:space="preserve"> </w:t>
      </w:r>
      <w:r>
        <w:rPr/>
        <w:t xml:space="preserve">чи вологості;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x</m:t>
            </m:r>
          </m:e>
          <m:sub>
            <m:r>
              <w:rPr>
                <w:rFonts w:ascii="Cambria Math" w:hAnsi="Cambria Math"/>
              </w:rPr>
              <m:t xml:space="preserve">i</m:t>
            </m:r>
          </m:sub>
        </m:sSub>
      </m:oMath>
      <w:r>
        <w:rPr/>
        <w:t xml:space="preserve"> – його поточне значення; </w:t>
      </w:r>
      <w:r>
        <w:rPr>
          <w:i/>
        </w:rPr>
        <w:t xml:space="preserve">µ </w:t>
      </w:r>
      <w:r>
        <w:rPr/>
        <w:t>-  гармоніка основної частоти.</w:t>
      </w:r>
    </w:p>
    <w:p>
      <w:pPr>
        <w:pStyle w:val="Normal"/>
        <w:rPr/>
      </w:pPr>
      <w:r>
        <w:rPr>
          <w:b/>
          <w:bCs/>
        </w:rPr>
        <w:t>Формули рекомендується вводити безпосередньо в копію абзацу (текстова – (2), вбудованим редактором – (3) для зручності задання стилю)</w:t>
      </w:r>
      <w:r>
        <w:rPr>
          <w:b/>
          <w:bCs/>
          <w:lang w:val="ru-RU"/>
        </w:rPr>
        <w:t>.</w:t>
      </w:r>
      <w:r>
        <w:rPr>
          <w:lang w:val="ru-RU"/>
        </w:rPr>
        <w:t xml:space="preserve"> </w:t>
      </w:r>
      <w:r>
        <w:rPr/>
        <w:t>Якщо у формулі з’являються величини, які відсутні у попередньому тексті або формулах, їх слід розшифрувати в абзаці, що починається без відступу зі слова де без двокрапок, як це показано під формулою (3).</w:t>
      </w:r>
    </w:p>
    <w:p>
      <w:pPr>
        <w:pStyle w:val="Normal"/>
        <w:rPr/>
      </w:pPr>
      <w:r>
        <w:rPr/>
        <w:t>Посилання на формули оформлюють у дужках (1), або на кілька формул (2,3-5,7)</w:t>
      </w:r>
    </w:p>
    <w:p>
      <w:pPr>
        <w:pStyle w:val="Normal"/>
        <w:rPr/>
      </w:pPr>
      <w:r>
        <w:rPr/>
        <w:t>Рисунки мають бути чіткими але без «волосяних» ліній, елементи мають добре розрізнятися, а шрифти у вставленому рисунку повинні бути розміром як у тексті. Допускається зменшення до 12 пт або збільшення до 15 пт. На одному рисунку може бути кілька зображень, які маркуються літерами а б в … без дужок або крапок у будь-якому місці (над, під, ліворуч, праворуч, у куті тощо). Для заощадження місця буква може знаходитися на зображенні.</w:t>
      </w:r>
    </w:p>
    <w:p>
      <w:pPr>
        <w:pStyle w:val="Normal"/>
        <w:rPr/>
      </w:pPr>
      <w:r>
        <w:rPr/>
        <w:t xml:space="preserve">Під рисунком робиться підпис, вирівняний по центру (стиль </w:t>
      </w:r>
      <w:r>
        <w:rPr>
          <w:lang w:val="en-US"/>
        </w:rPr>
        <w:t>Figure</w:t>
      </w:r>
      <w:r>
        <w:rPr>
          <w:lang w:val="ru-RU"/>
        </w:rPr>
        <w:t xml:space="preserve"> </w:t>
      </w:r>
      <w:r>
        <w:rPr>
          <w:lang w:val="en-US"/>
        </w:rPr>
        <w:t>Caption</w:t>
      </w:r>
      <w:r>
        <w:rPr>
          <w:lang w:val="ru-RU"/>
        </w:rPr>
        <w:t>)</w:t>
      </w:r>
      <w:r>
        <w:rPr/>
        <w:t>, з розшифруванням букв при зображеннях та позначень. Наприкінці крапку не ставлять. При виборі стилю позначень перевагу слід віддавати цифровим позначенням перед безпосереднім текстом на рисунку.</w:t>
      </w:r>
    </w:p>
    <w:p>
      <w:pPr>
        <w:pStyle w:val="Normal"/>
        <w:rPr/>
      </w:pPr>
      <w:r>
        <w:rPr/>
        <w:t>Рисунки вставляють до тексту, відповідний</w:t>
      </w:r>
      <w:r>
        <w:rPr>
          <w:lang w:val="ru-RU"/>
        </w:rPr>
        <w:t xml:space="preserve"> </w:t>
      </w:r>
      <w:r>
        <w:rPr/>
        <w:t xml:space="preserve">абзац форматують через одинарний інтервал (стиль </w:t>
      </w:r>
      <w:r>
        <w:rPr>
          <w:lang w:val="en-US"/>
        </w:rPr>
        <w:t>Figure</w:t>
      </w:r>
      <w:r>
        <w:rPr>
          <w:lang w:val="ru-RU"/>
        </w:rPr>
        <w:t xml:space="preserve">). </w:t>
      </w:r>
      <w:r>
        <w:rPr/>
        <w:t>Перед рисунком і після його назви залишають один порожній рядок. Між рисунком і назвою порожній рядок і його розмір шрифту залишається на розгляд автора.</w:t>
      </w:r>
    </w:p>
    <w:p>
      <w:pPr>
        <w:pStyle w:val="Normal"/>
        <w:rPr>
          <w:lang w:val="ru-RU"/>
        </w:rPr>
      </w:pPr>
      <w:r>
        <w:rPr/>
        <w:t>Рисунки та таблиці наводять одразу після посилання або на наступній сторінці. Якщо поруч багато посилань на різні рисунки й таблиці, то їх наводять після посилань у тому ж порядку, що і посилаються. Порожні місця заповнюють текстом. Приклад рисунка наведено на рис. 1. Посилання на рисунки оформлюють так: рис. 1, рис. 1 а,б, рис. 2-4,6. Рекомендується в посиланнях послугуватися нерозривними пробілами (</w:t>
      </w:r>
      <w:r>
        <w:rPr>
          <w:lang w:val="en-US"/>
        </w:rPr>
        <w:t>ctrl</w:t>
      </w:r>
      <w:r>
        <w:rPr>
          <w:lang w:val="ru-RU"/>
        </w:rPr>
        <w:t>+</w:t>
      </w:r>
      <w:r>
        <w:rPr>
          <w:lang w:val="en-US"/>
        </w:rPr>
        <w:t>shift</w:t>
      </w:r>
      <w:r>
        <w:rPr>
          <w:lang w:val="ru-RU"/>
        </w:rPr>
        <w:t>+пробіл)</w:t>
      </w:r>
    </w:p>
    <w:p>
      <w:pPr>
        <w:pStyle w:val="Normal"/>
        <w:rPr/>
      </w:pPr>
      <w:r>
        <w:rPr/>
      </w:r>
    </w:p>
    <w:p>
      <w:pPr>
        <w:pStyle w:val="07Figure"/>
        <w:rPr/>
      </w:pPr>
      <w:r>
        <w:rPr/>
        <w:t xml:space="preserve">а </w:t>
      </w:r>
      <w:r>
        <w:rPr/>
        <w:drawing>
          <wp:inline distT="0" distB="0" distL="0" distR="0">
            <wp:extent cx="2526665" cy="88392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7" t="-79" r="-27" b="-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6665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  б </w:t>
      </w:r>
      <w:r>
        <w:rPr/>
        <w:drawing>
          <wp:inline distT="0" distB="0" distL="0" distR="0">
            <wp:extent cx="2497455" cy="702945"/>
            <wp:effectExtent l="0" t="0" r="0" b="0"/>
            <wp:docPr id="2" name="Pictur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35" t="-125" r="-35" b="-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455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07FigureCaption"/>
        <w:rPr/>
      </w:pPr>
      <w:r>
        <w:rPr/>
        <w:t>Рис. 1. Теплообмінні апарати:</w:t>
        <w:br/>
        <w:t>а – схема теплообмінника ТМЗД, б – канал плівкового теплообмінника КНУБА:</w:t>
        <w:br/>
        <w:t>1 – пара або парогазова суміш; 2 – камера змішування; 3 – сопло; 4 – вода;</w:t>
        <w:br/>
        <w:t>5 – тангенціальний патрубок; 6 – закручений потік суміші; 7 – вихід</w:t>
      </w:r>
    </w:p>
    <w:p>
      <w:pPr>
        <w:pStyle w:val="Normal"/>
        <w:rPr>
          <w:lang w:eastAsia="zh-CN" w:bidi="hi-IN"/>
        </w:rPr>
      </w:pPr>
      <w:r>
        <w:rPr>
          <w:lang w:eastAsia="zh-CN" w:bidi="hi-IN"/>
        </w:rPr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Таблиці уводять за потребою. За можливості перевагу віддають діаграмам і графікам. Великі таблиці дослідних даних можна подавати окремим файлом у будь-якому форматі (електронні таблиці, документ</w:t>
      </w:r>
      <w:r>
        <w:rPr>
          <w:rFonts w:eastAsia="" w:cs="Times New Roman" w:eastAsiaTheme="minorEastAsia"/>
          <w:szCs w:val="28"/>
          <w:lang w:val="ru-RU"/>
        </w:rPr>
        <w:t xml:space="preserve"> </w:t>
      </w:r>
      <w:r>
        <w:rPr>
          <w:rFonts w:eastAsia="" w:cs="Times New Roman" w:eastAsiaTheme="minorEastAsia"/>
          <w:szCs w:val="28"/>
          <w:lang w:val="en-US"/>
        </w:rPr>
        <w:t>doc</w:t>
      </w:r>
      <w:r>
        <w:rPr>
          <w:rFonts w:eastAsia="" w:cs="Times New Roman" w:eastAsiaTheme="minorEastAsia"/>
          <w:szCs w:val="28"/>
          <w:lang w:val="ru-RU"/>
        </w:rPr>
        <w:t xml:space="preserve">, </w:t>
      </w:r>
      <w:r>
        <w:rPr>
          <w:rFonts w:eastAsia="" w:cs="Times New Roman" w:eastAsiaTheme="minorEastAsia"/>
          <w:szCs w:val="28"/>
          <w:lang w:val="en-US"/>
        </w:rPr>
        <w:t>docx</w:t>
      </w:r>
      <w:r>
        <w:rPr>
          <w:rFonts w:eastAsia="" w:cs="Times New Roman" w:eastAsiaTheme="minorEastAsia"/>
          <w:szCs w:val="28"/>
        </w:rPr>
        <w:t xml:space="preserve">, </w:t>
      </w:r>
      <w:r>
        <w:rPr>
          <w:rFonts w:eastAsia="" w:cs="Times New Roman" w:eastAsiaTheme="minorEastAsia"/>
          <w:szCs w:val="28"/>
          <w:lang w:val="en-US"/>
        </w:rPr>
        <w:t>pdf</w:t>
      </w:r>
      <w:r>
        <w:rPr>
          <w:rFonts w:eastAsia="" w:cs="Times New Roman" w:eastAsiaTheme="minorEastAsia"/>
          <w:szCs w:val="28"/>
          <w:lang w:val="ru-RU"/>
        </w:rPr>
        <w:t xml:space="preserve"> тощо). </w:t>
      </w:r>
      <w:r>
        <w:rPr>
          <w:rFonts w:eastAsia="" w:cs="Times New Roman" w:eastAsiaTheme="minorEastAsia"/>
          <w:szCs w:val="28"/>
        </w:rPr>
        <w:t>Їх буде викладено при статті як супровідний матеріал. У тексті статті наводять посилання (див. файл «назва файлу»).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Слово «Таблиця», її номер з крапкою та назву таблиці без крапки наводять над таблицею по центру. У таблицях рекомендується розмір шрифту відповідно до тексту (14 пт.) Допускається встановити від’ємні інтервали ліворуч і праворуч для вмісту таблиці, але за умови, що текст не налізає на межі таблиці.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У разі неможливості вмістити дані допускається зменшення шрифту, але не менше за 12 пт. Якщо таблиця не поміщається на аркуш, над продовженням таблиці пишуть «продовження таблиці» з відповідним номером, а над останньою частиною - «закінчення таблиці» з відповідним номером.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Перед назвою таблиці та після таблиці або приміток до неї залишають один порожній рядок. Між назвою, таблицею та примітками до неї порожній рядок не потрібен.</w:t>
      </w:r>
    </w:p>
    <w:p>
      <w:pPr>
        <w:pStyle w:val="Normal"/>
        <w:rPr>
          <w:lang w:val="ru-RU"/>
        </w:rPr>
      </w:pPr>
      <w:r>
        <w:rPr>
          <w:rFonts w:eastAsia="" w:cs="Times New Roman" w:eastAsiaTheme="minorEastAsia"/>
          <w:szCs w:val="28"/>
        </w:rPr>
        <w:t xml:space="preserve">Приклад оформлення таблиці наведено в табл. 1. Посилання на таблиці оформлюють так: табл. 1, табл. 2-4, 6. </w:t>
      </w:r>
      <w:r>
        <w:rPr/>
        <w:t>Рекомендується в посиланнях послугуватися нерозривними пробілами (</w:t>
      </w:r>
      <w:r>
        <w:rPr>
          <w:lang w:val="en-US"/>
        </w:rPr>
        <w:t>ctrl</w:t>
      </w:r>
      <w:r>
        <w:rPr>
          <w:lang w:val="ru-RU"/>
        </w:rPr>
        <w:t>+</w:t>
      </w:r>
      <w:r>
        <w:rPr>
          <w:lang w:val="en-US"/>
        </w:rPr>
        <w:t>shift</w:t>
      </w:r>
      <w:r>
        <w:rPr>
          <w:lang w:val="ru-RU"/>
        </w:rPr>
        <w:t>+пробіл)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b/>
          <w:bCs/>
          <w:szCs w:val="28"/>
        </w:rPr>
        <w:t>Висновки.</w:t>
      </w:r>
      <w:r>
        <w:rPr>
          <w:rFonts w:eastAsia="" w:cs="Times New Roman" w:eastAsiaTheme="minorEastAsia"/>
          <w:szCs w:val="28"/>
        </w:rPr>
        <w:t xml:space="preserve"> Основні висновки з роботи. Мають бути наведені висновки, а не перелік виконаних задач. Висновки подають або без нумерації одним абзацом або у разі значної їхньої кількості окремими абзацами без нумерації.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b/>
          <w:bCs/>
          <w:szCs w:val="28"/>
        </w:rPr>
        <w:t>Перспективи подальших досліджень.</w:t>
      </w:r>
      <w:r>
        <w:rPr>
          <w:rFonts w:eastAsia="" w:cs="Times New Roman" w:eastAsiaTheme="minorEastAsia"/>
          <w:szCs w:val="28"/>
        </w:rPr>
        <w:t xml:space="preserve"> Необов’язковий, але рекомендований розділ </w:t>
      </w:r>
      <w:r>
        <w:rPr/>
        <w:t>–</w:t>
      </w:r>
      <w:r>
        <w:rPr>
          <w:rFonts w:eastAsia="" w:cs="Times New Roman" w:eastAsiaTheme="minorEastAsia"/>
          <w:szCs w:val="28"/>
        </w:rPr>
        <w:t xml:space="preserve"> перспективи подальшого розвитку даної роботи.</w:t>
      </w:r>
    </w:p>
    <w:p>
      <w:pPr>
        <w:pStyle w:val="07TableCaption"/>
        <w:rPr/>
      </w:pPr>
      <w:r>
        <w:rPr/>
        <w:t>Таблиця 1. Правила української та російської транслітерації</w:t>
      </w:r>
    </w:p>
    <w:tbl>
      <w:tblPr>
        <w:tblW w:w="9643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noHBand="0" w:noVBand="0" w:firstColumn="0" w:lastRow="0" w:lastColumn="0" w:firstRow="0"/>
      </w:tblPr>
      <w:tblGrid>
        <w:gridCol w:w="1069"/>
        <w:gridCol w:w="1134"/>
        <w:gridCol w:w="1701"/>
        <w:gridCol w:w="1843"/>
        <w:gridCol w:w="3896"/>
      </w:tblGrid>
      <w:tr>
        <w:trPr>
          <w:trHeight w:val="115" w:hRule="atLeast"/>
        </w:trPr>
        <w:tc>
          <w:tcPr>
            <w:tcW w:w="1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Ук</w:t>
              <w:softHyphen/>
              <w:t>ра</w:t>
              <w:softHyphen/>
              <w:t>їн</w:t>
              <w:softHyphen/>
              <w:t>ська мо</w:t>
              <w:softHyphen/>
              <w:t>ва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Ро</w:t>
              <w:softHyphen/>
              <w:t>сій</w:t>
              <w:softHyphen/>
              <w:t>ська мо</w:t>
              <w:softHyphen/>
              <w:t>ва</w:t>
            </w:r>
          </w:p>
        </w:tc>
        <w:tc>
          <w:tcPr>
            <w:tcW w:w="3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Ла</w:t>
              <w:softHyphen/>
              <w:t>тин</w:t>
              <w:softHyphen/>
              <w:t>ський ана</w:t>
              <w:softHyphen/>
              <w:t>лог</w:t>
            </w:r>
          </w:p>
        </w:tc>
        <w:tc>
          <w:tcPr>
            <w:tcW w:w="38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snapToGrid w:val="false"/>
              <w:rPr/>
            </w:pPr>
            <w:r>
              <w:rPr/>
            </w:r>
          </w:p>
          <w:p>
            <w:pPr>
              <w:pStyle w:val="07TableText"/>
              <w:rPr/>
            </w:pPr>
            <w:r>
              <w:rPr/>
              <w:t>Приклад</w:t>
            </w:r>
          </w:p>
        </w:tc>
      </w:tr>
      <w:tr>
        <w:trPr>
          <w:trHeight w:val="300" w:hRule="atLeast"/>
        </w:trPr>
        <w:tc>
          <w:tcPr>
            <w:tcW w:w="1069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3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на по</w:t>
              <w:softHyphen/>
              <w:t>чат</w:t>
              <w:softHyphen/>
              <w:t>ку сло</w:t>
              <w:softHyphen/>
              <w:t>ва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в ін</w:t>
              <w:softHyphen/>
              <w:t>ших по</w:t>
              <w:softHyphen/>
              <w:t>зи</w:t>
              <w:softHyphen/>
              <w:t>ці</w:t>
              <w:softHyphen/>
              <w:t>ях</w:t>
            </w:r>
          </w:p>
        </w:tc>
        <w:tc>
          <w:tcPr>
            <w:tcW w:w="389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4" w:hRule="atLeast"/>
        </w:trPr>
        <w:tc>
          <w:tcPr>
            <w:tcW w:w="1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Cont"/>
              <w:rPr/>
            </w:pPr>
            <w:r>
              <w:rPr/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Cont"/>
              <w:rPr/>
            </w:pPr>
            <w:r>
              <w:rPr/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Cont"/>
              <w:rPr/>
            </w:pPr>
            <w:r>
              <w:rPr/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Cont"/>
              <w:rPr/>
            </w:pPr>
            <w:r>
              <w:rPr/>
              <w:t>4</w:t>
            </w:r>
          </w:p>
        </w:tc>
        <w:tc>
          <w:tcPr>
            <w:tcW w:w="38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Cont"/>
              <w:rPr/>
            </w:pPr>
            <w:r>
              <w:rPr/>
              <w:t>5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А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a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А</w:t>
            </w:r>
            <w:r>
              <w:rPr/>
              <w:t>в</w:t>
            </w:r>
            <w:r>
              <w:rPr>
                <w:b/>
                <w:bCs/>
              </w:rPr>
              <w:t>а</w:t>
            </w:r>
            <w:r>
              <w:rPr/>
              <w:t xml:space="preserve">рія – </w:t>
            </w:r>
            <w:r>
              <w:rPr>
                <w:b/>
                <w:bCs/>
              </w:rPr>
              <w:t>A</w:t>
            </w:r>
            <w:r>
              <w:rPr/>
              <w:t>v</w:t>
            </w:r>
            <w:r>
              <w:rPr>
                <w:b/>
                <w:bCs/>
              </w:rPr>
              <w:t>a</w:t>
            </w:r>
            <w:r>
              <w:rPr/>
              <w:t>riia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Б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B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b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Б</w:t>
            </w:r>
            <w:r>
              <w:rPr/>
              <w:t>ара</w:t>
            </w:r>
            <w:r>
              <w:rPr>
                <w:b/>
                <w:bCs/>
              </w:rPr>
              <w:t>б</w:t>
            </w:r>
            <w:r>
              <w:rPr/>
              <w:t xml:space="preserve">ан – </w:t>
            </w:r>
            <w:r>
              <w:rPr>
                <w:b/>
                <w:bCs/>
              </w:rPr>
              <w:t>B</w:t>
            </w:r>
            <w:r>
              <w:rPr/>
              <w:t>ara</w:t>
            </w:r>
            <w:r>
              <w:rPr>
                <w:b/>
                <w:bCs/>
              </w:rPr>
              <w:t>b</w:t>
            </w:r>
            <w:r>
              <w:rPr/>
              <w:t>an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В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V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v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В</w:t>
            </w:r>
            <w:r>
              <w:rPr/>
              <w:t>и</w:t>
            </w:r>
            <w:r>
              <w:rPr>
                <w:b/>
                <w:bCs/>
              </w:rPr>
              <w:t>в</w:t>
            </w:r>
            <w:r>
              <w:rPr/>
              <w:t xml:space="preserve">ід – </w:t>
            </w:r>
            <w:r>
              <w:rPr>
                <w:b/>
                <w:bCs/>
              </w:rPr>
              <w:t>V</w:t>
            </w:r>
            <w:r>
              <w:rPr/>
              <w:t>y</w:t>
            </w:r>
            <w:r>
              <w:rPr>
                <w:b/>
                <w:bCs/>
              </w:rPr>
              <w:t>v</w:t>
            </w:r>
            <w:r>
              <w:rPr/>
              <w:t>id</w:t>
            </w:r>
          </w:p>
        </w:tc>
      </w:tr>
      <w:tr>
        <w:trPr/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Г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–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H</w:t>
            </w:r>
          </w:p>
          <w:p>
            <w:pPr>
              <w:pStyle w:val="07TableText"/>
              <w:rPr/>
            </w:pPr>
            <w:r>
              <w:rPr>
                <w:lang w:val="en-US"/>
              </w:rPr>
              <w:t>(</w:t>
            </w:r>
            <w:r>
              <w:rPr/>
              <w:t>крім “Зг”)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H</w:t>
            </w:r>
          </w:p>
          <w:p>
            <w:pPr>
              <w:pStyle w:val="07TableText"/>
              <w:rPr/>
            </w:pPr>
            <w:r>
              <w:rPr>
                <w:lang w:val="en-US"/>
              </w:rPr>
              <w:t>(</w:t>
            </w:r>
            <w:r>
              <w:rPr/>
              <w:t>крім “зг”)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Г</w:t>
            </w:r>
            <w:r>
              <w:rPr/>
              <w:t>а</w:t>
            </w:r>
            <w:r>
              <w:rPr>
                <w:b/>
                <w:bCs/>
              </w:rPr>
              <w:t>г</w:t>
            </w:r>
            <w:r>
              <w:rPr/>
              <w:t xml:space="preserve">ара – </w:t>
            </w:r>
            <w:r>
              <w:rPr>
                <w:b/>
                <w:bCs/>
              </w:rPr>
              <w:t>H</w:t>
            </w:r>
            <w:r>
              <w:rPr/>
              <w:t>a</w:t>
            </w:r>
            <w:r>
              <w:rPr>
                <w:b/>
                <w:bCs/>
              </w:rPr>
              <w:t>h</w:t>
            </w:r>
            <w:r>
              <w:rPr/>
              <w:t>ara</w:t>
            </w:r>
          </w:p>
        </w:tc>
      </w:tr>
      <w:tr>
        <w:trPr/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З</w:t>
            </w:r>
            <w:r>
              <w:rPr>
                <w:lang w:val="ru-RU"/>
              </w:rPr>
              <w:t>г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–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Zgh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zgh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Зг</w:t>
            </w:r>
            <w:r>
              <w:rPr/>
              <w:t xml:space="preserve">ін – </w:t>
            </w:r>
            <w:r>
              <w:rPr>
                <w:b/>
                <w:bCs/>
              </w:rPr>
              <w:t>Zgh</w:t>
            </w:r>
            <w:r>
              <w:rPr/>
              <w:t>in. Ро</w:t>
            </w:r>
            <w:r>
              <w:rPr>
                <w:b/>
                <w:bCs/>
              </w:rPr>
              <w:t>зг</w:t>
            </w:r>
            <w:r>
              <w:rPr/>
              <w:t>ін – Ro</w:t>
            </w:r>
            <w:r>
              <w:rPr>
                <w:b/>
                <w:bCs/>
              </w:rPr>
              <w:t>zgh</w:t>
            </w:r>
            <w:r>
              <w:rPr/>
              <w:t>in</w:t>
            </w:r>
          </w:p>
        </w:tc>
      </w:tr>
      <w:tr>
        <w:trPr/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Ґ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Г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G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g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b/>
                <w:bCs/>
              </w:rPr>
              <w:t>Ґ</w:t>
            </w:r>
            <w:r>
              <w:rPr/>
              <w:t>ала</w:t>
            </w:r>
            <w:r>
              <w:rPr>
                <w:b/>
                <w:bCs/>
              </w:rPr>
              <w:t>ґ</w:t>
            </w:r>
            <w:r>
              <w:rPr/>
              <w:t xml:space="preserve">ан – </w:t>
            </w:r>
            <w:r>
              <w:rPr>
                <w:b/>
                <w:bCs/>
              </w:rPr>
              <w:t>G</w:t>
            </w:r>
            <w:r>
              <w:rPr/>
              <w:t>ala</w:t>
            </w:r>
            <w:r>
              <w:rPr>
                <w:b/>
                <w:bCs/>
              </w:rPr>
              <w:t>g</w:t>
            </w:r>
            <w:r>
              <w:rPr/>
              <w:t>an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Д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D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d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Д</w:t>
            </w:r>
            <w:r>
              <w:rPr/>
              <w:t>і</w:t>
            </w:r>
            <w:r>
              <w:rPr>
                <w:b/>
                <w:bCs/>
              </w:rPr>
              <w:t>д</w:t>
            </w:r>
            <w:r>
              <w:rPr/>
              <w:t xml:space="preserve">усь – </w:t>
            </w:r>
            <w:r>
              <w:rPr>
                <w:b/>
                <w:bCs/>
              </w:rPr>
              <w:t>D</w:t>
            </w:r>
            <w:r>
              <w:rPr/>
              <w:t>i</w:t>
            </w:r>
            <w:r>
              <w:rPr>
                <w:b/>
                <w:bCs/>
              </w:rPr>
              <w:t>d</w:t>
            </w:r>
            <w:r>
              <w:rPr/>
              <w:t>us</w:t>
            </w:r>
          </w:p>
        </w:tc>
      </w:tr>
      <w:tr>
        <w:trPr/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Е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 xml:space="preserve">Е, </w:t>
            </w:r>
            <w:r>
              <w:rPr>
                <w:lang w:val="ru-RU"/>
              </w:rPr>
              <w:t>Ё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E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e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Е</w:t>
            </w:r>
            <w:r>
              <w:rPr/>
              <w:t>л</w:t>
            </w:r>
            <w:r>
              <w:rPr>
                <w:b/>
                <w:bCs/>
              </w:rPr>
              <w:t>е</w:t>
            </w:r>
            <w:r>
              <w:rPr/>
              <w:t xml:space="preserve">рон – </w:t>
            </w:r>
            <w:r>
              <w:rPr>
                <w:b/>
                <w:bCs/>
              </w:rPr>
              <w:t>E</w:t>
            </w:r>
            <w:r>
              <w:rPr/>
              <w:t>l</w:t>
            </w:r>
            <w:r>
              <w:rPr>
                <w:b/>
                <w:bCs/>
              </w:rPr>
              <w:t>e</w:t>
            </w:r>
            <w:r>
              <w:rPr/>
              <w:t>ron</w:t>
            </w:r>
          </w:p>
        </w:tc>
      </w:tr>
      <w:tr>
        <w:trPr/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Є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–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Ye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ie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Є</w:t>
            </w:r>
            <w:r>
              <w:rPr/>
              <w:t>вропе</w:t>
            </w:r>
            <w:r>
              <w:rPr>
                <w:b/>
                <w:bCs/>
              </w:rPr>
              <w:t>є</w:t>
            </w:r>
            <w:r>
              <w:rPr/>
              <w:t xml:space="preserve">ць – </w:t>
            </w:r>
            <w:r>
              <w:rPr>
                <w:b/>
                <w:bCs/>
              </w:rPr>
              <w:t>Ye</w:t>
            </w:r>
            <w:r>
              <w:rPr/>
              <w:t>vrope</w:t>
            </w:r>
            <w:r>
              <w:rPr>
                <w:b/>
                <w:bCs/>
              </w:rPr>
              <w:t>ie</w:t>
            </w:r>
            <w:r>
              <w:rPr/>
              <w:t>ts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Ж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Zh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zh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Ж</w:t>
            </w:r>
            <w:r>
              <w:rPr/>
              <w:t>у</w:t>
            </w:r>
            <w:r>
              <w:rPr>
                <w:b/>
                <w:bCs/>
              </w:rPr>
              <w:t>ж</w:t>
            </w:r>
            <w:r>
              <w:rPr/>
              <w:t xml:space="preserve">іль – </w:t>
            </w:r>
            <w:r>
              <w:rPr>
                <w:b/>
                <w:bCs/>
              </w:rPr>
              <w:t>Zh</w:t>
            </w:r>
            <w:r>
              <w:rPr/>
              <w:t>u</w:t>
            </w:r>
            <w:r>
              <w:rPr>
                <w:b/>
                <w:bCs/>
              </w:rPr>
              <w:t>zh</w:t>
            </w:r>
            <w:r>
              <w:rPr/>
              <w:t>il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З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Z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z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З</w:t>
            </w:r>
            <w:r>
              <w:rPr/>
              <w:t>о</w:t>
            </w:r>
            <w:r>
              <w:rPr>
                <w:b/>
                <w:bCs/>
              </w:rPr>
              <w:t>з</w:t>
            </w:r>
            <w:r>
              <w:rPr/>
              <w:t xml:space="preserve">уля – </w:t>
            </w:r>
            <w:r>
              <w:rPr>
                <w:b/>
                <w:bCs/>
              </w:rPr>
              <w:t>z</w:t>
            </w:r>
            <w:r>
              <w:rPr/>
              <w:t>o</w:t>
            </w:r>
            <w:r>
              <w:rPr>
                <w:b/>
                <w:bCs/>
              </w:rPr>
              <w:t>z</w:t>
            </w:r>
            <w:r>
              <w:rPr/>
              <w:t>ulia</w:t>
            </w:r>
          </w:p>
        </w:tc>
      </w:tr>
      <w:tr>
        <w:trPr/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И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–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y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Р</w:t>
            </w:r>
            <w:r>
              <w:rPr>
                <w:b/>
                <w:bCs/>
              </w:rPr>
              <w:t>и</w:t>
            </w:r>
            <w:r>
              <w:rPr/>
              <w:t>ба - R</w:t>
            </w:r>
            <w:r>
              <w:rPr>
                <w:b/>
                <w:bCs/>
              </w:rPr>
              <w:t>y</w:t>
            </w:r>
            <w:r>
              <w:rPr/>
              <w:t>ba</w:t>
            </w:r>
          </w:p>
        </w:tc>
      </w:tr>
      <w:tr>
        <w:trPr/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І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И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I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i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І</w:t>
            </w:r>
            <w:r>
              <w:rPr/>
              <w:t>н</w:t>
            </w:r>
            <w:r>
              <w:rPr>
                <w:b/>
                <w:bCs/>
              </w:rPr>
              <w:t>і</w:t>
            </w:r>
            <w:r>
              <w:rPr/>
              <w:t>ц</w:t>
            </w:r>
            <w:r>
              <w:rPr>
                <w:b/>
                <w:bCs/>
              </w:rPr>
              <w:t>і</w:t>
            </w:r>
            <w:r>
              <w:rPr/>
              <w:t xml:space="preserve">атор – </w:t>
            </w:r>
            <w:r>
              <w:rPr>
                <w:b/>
                <w:bCs/>
              </w:rPr>
              <w:t>I</w:t>
            </w:r>
            <w:r>
              <w:rPr/>
              <w:t>n</w:t>
            </w:r>
            <w:r>
              <w:rPr>
                <w:b/>
                <w:bCs/>
              </w:rPr>
              <w:t>i</w:t>
            </w:r>
            <w:r>
              <w:rPr/>
              <w:t>ts</w:t>
            </w:r>
            <w:r>
              <w:rPr>
                <w:b/>
                <w:bCs/>
              </w:rPr>
              <w:t>i</w:t>
            </w:r>
            <w:r>
              <w:rPr/>
              <w:t>ator</w:t>
            </w:r>
          </w:p>
        </w:tc>
      </w:tr>
      <w:tr>
        <w:trPr/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Ї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–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Yi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i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Ї</w:t>
            </w:r>
            <w:r>
              <w:rPr/>
              <w:t xml:space="preserve">жак – </w:t>
            </w:r>
            <w:r>
              <w:rPr>
                <w:b/>
                <w:bCs/>
              </w:rPr>
              <w:t>Yi</w:t>
            </w:r>
            <w:r>
              <w:rPr/>
              <w:t>zhak. Про</w:t>
            </w:r>
            <w:r>
              <w:rPr>
                <w:b/>
                <w:bCs/>
              </w:rPr>
              <w:t>ї</w:t>
            </w:r>
            <w:r>
              <w:rPr/>
              <w:t>зд – Pro</w:t>
            </w:r>
            <w:r>
              <w:rPr>
                <w:b/>
                <w:bCs/>
              </w:rPr>
              <w:t>i</w:t>
            </w:r>
            <w:r>
              <w:rPr/>
              <w:t>zd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Й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Y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i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Й</w:t>
            </w:r>
            <w:r>
              <w:rPr/>
              <w:t xml:space="preserve">осип – </w:t>
            </w:r>
            <w:r>
              <w:rPr>
                <w:b/>
                <w:bCs/>
              </w:rPr>
              <w:t>Y</w:t>
            </w:r>
            <w:r>
              <w:rPr/>
              <w:t>osyp. Стри</w:t>
            </w:r>
            <w:r>
              <w:rPr>
                <w:b/>
                <w:bCs/>
              </w:rPr>
              <w:t>й</w:t>
            </w:r>
            <w:r>
              <w:rPr/>
              <w:t xml:space="preserve"> – Stry</w:t>
            </w:r>
            <w:r>
              <w:rPr>
                <w:b/>
                <w:bCs/>
              </w:rPr>
              <w:t>i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К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k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К</w:t>
            </w:r>
            <w:r>
              <w:rPr/>
              <w:t>ра</w:t>
            </w:r>
            <w:r>
              <w:rPr>
                <w:b/>
                <w:bCs/>
              </w:rPr>
              <w:t>к</w:t>
            </w:r>
            <w:r>
              <w:rPr/>
              <w:t xml:space="preserve">ів – </w:t>
            </w:r>
            <w:r>
              <w:rPr>
                <w:b/>
                <w:bCs/>
              </w:rPr>
              <w:t>K</w:t>
            </w:r>
            <w:r>
              <w:rPr/>
              <w:t>ra</w:t>
            </w:r>
            <w:r>
              <w:rPr>
                <w:b/>
                <w:bCs/>
              </w:rPr>
              <w:t>k</w:t>
            </w:r>
            <w:r>
              <w:rPr/>
              <w:t>iv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Л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L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l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Л</w:t>
            </w:r>
            <w:r>
              <w:rPr/>
              <w:t>е</w:t>
            </w:r>
            <w:r>
              <w:rPr>
                <w:b/>
                <w:bCs/>
              </w:rPr>
              <w:t>л</w:t>
            </w:r>
            <w:r>
              <w:rPr/>
              <w:t xml:space="preserve">ека – </w:t>
            </w:r>
            <w:r>
              <w:rPr>
                <w:b/>
                <w:bCs/>
              </w:rPr>
              <w:t>L</w:t>
            </w:r>
            <w:r>
              <w:rPr/>
              <w:t>e</w:t>
            </w:r>
            <w:r>
              <w:rPr>
                <w:b/>
                <w:bCs/>
              </w:rPr>
              <w:t>l</w:t>
            </w:r>
            <w:r>
              <w:rPr/>
              <w:t>eka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М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M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m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М</w:t>
            </w:r>
            <w:r>
              <w:rPr/>
              <w:t>і</w:t>
            </w:r>
            <w:r>
              <w:rPr>
                <w:b/>
                <w:bCs/>
              </w:rPr>
              <w:t>м</w:t>
            </w:r>
            <w:r>
              <w:rPr/>
              <w:t xml:space="preserve">іка – </w:t>
            </w:r>
            <w:r>
              <w:rPr>
                <w:b/>
                <w:bCs/>
              </w:rPr>
              <w:t>M</w:t>
            </w:r>
            <w:r>
              <w:rPr/>
              <w:t>i</w:t>
            </w:r>
            <w:r>
              <w:rPr>
                <w:b/>
                <w:bCs/>
              </w:rPr>
              <w:t>m</w:t>
            </w:r>
            <w:r>
              <w:rPr/>
              <w:t>ika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ru-RU"/>
              </w:rPr>
              <w:t>Н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N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n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Н</w:t>
            </w:r>
            <w:r>
              <w:rPr/>
              <w:t>а</w:t>
            </w:r>
            <w:r>
              <w:rPr>
                <w:b/>
                <w:bCs/>
              </w:rPr>
              <w:t>н</w:t>
            </w:r>
            <w:r>
              <w:rPr/>
              <w:t>о</w:t>
            </w:r>
            <w:r>
              <w:rPr>
                <w:b/>
                <w:bCs/>
              </w:rPr>
              <w:t>н</w:t>
            </w:r>
            <w:r>
              <w:rPr/>
              <w:t>ьюто</w:t>
            </w:r>
            <w:r>
              <w:rPr>
                <w:b/>
                <w:bCs/>
              </w:rPr>
              <w:t>н</w:t>
            </w:r>
            <w:r>
              <w:rPr/>
              <w:t xml:space="preserve"> – </w:t>
            </w:r>
            <w:r>
              <w:rPr>
                <w:b/>
                <w:bCs/>
              </w:rPr>
              <w:t>N</w:t>
            </w:r>
            <w:r>
              <w:rPr/>
              <w:t>a</w:t>
            </w:r>
            <w:r>
              <w:rPr>
                <w:b/>
                <w:bCs/>
              </w:rPr>
              <w:t>n</w:t>
            </w:r>
            <w:r>
              <w:rPr/>
              <w:t>o</w:t>
            </w:r>
            <w:r>
              <w:rPr>
                <w:b/>
                <w:bCs/>
              </w:rPr>
              <w:t>n</w:t>
            </w:r>
            <w:r>
              <w:rPr/>
              <w:t>iuto</w:t>
            </w:r>
            <w:r>
              <w:rPr>
                <w:b/>
                <w:bCs/>
              </w:rPr>
              <w:t>n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О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o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О</w:t>
            </w:r>
            <w:r>
              <w:rPr/>
              <w:t>л</w:t>
            </w:r>
            <w:r>
              <w:rPr>
                <w:b/>
                <w:bCs/>
              </w:rPr>
              <w:t>о</w:t>
            </w:r>
            <w:r>
              <w:rPr/>
              <w:t>в</w:t>
            </w:r>
            <w:r>
              <w:rPr>
                <w:b/>
                <w:bCs/>
              </w:rPr>
              <w:t>о</w:t>
            </w:r>
            <w:r>
              <w:rPr/>
              <w:t xml:space="preserve"> – </w:t>
            </w:r>
            <w:r>
              <w:rPr>
                <w:b/>
                <w:bCs/>
              </w:rPr>
              <w:t>O</w:t>
            </w:r>
            <w:r>
              <w:rPr/>
              <w:t>l</w:t>
            </w:r>
            <w:r>
              <w:rPr>
                <w:b/>
                <w:bCs/>
              </w:rPr>
              <w:t>o</w:t>
            </w:r>
            <w:r>
              <w:rPr/>
              <w:t>v</w:t>
            </w:r>
            <w:r>
              <w:rPr>
                <w:b/>
                <w:bCs/>
              </w:rPr>
              <w:t>o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ru-RU"/>
              </w:rPr>
              <w:t>П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P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p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П</w:t>
            </w:r>
            <w:r>
              <w:rPr/>
              <w:t>ере</w:t>
            </w:r>
            <w:r>
              <w:rPr>
                <w:b/>
                <w:bCs/>
              </w:rPr>
              <w:t>п</w:t>
            </w:r>
            <w:r>
              <w:rPr/>
              <w:t xml:space="preserve">ел – </w:t>
            </w:r>
            <w:r>
              <w:rPr>
                <w:b/>
                <w:bCs/>
              </w:rPr>
              <w:t>P</w:t>
            </w:r>
            <w:r>
              <w:rPr/>
              <w:t>ere</w:t>
            </w:r>
            <w:r>
              <w:rPr>
                <w:b/>
                <w:bCs/>
              </w:rPr>
              <w:t>p</w:t>
            </w:r>
            <w:r>
              <w:rPr/>
              <w:t>el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Р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R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r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Р</w:t>
            </w:r>
            <w:r>
              <w:rPr/>
              <w:t>ет</w:t>
            </w:r>
            <w:r>
              <w:rPr>
                <w:b/>
                <w:bCs/>
              </w:rPr>
              <w:t>р</w:t>
            </w:r>
            <w:r>
              <w:rPr/>
              <w:t xml:space="preserve">о – </w:t>
            </w:r>
            <w:r>
              <w:rPr>
                <w:b/>
                <w:bCs/>
              </w:rPr>
              <w:t>R</w:t>
            </w:r>
            <w:r>
              <w:rPr/>
              <w:t>et</w:t>
            </w:r>
            <w:r>
              <w:rPr>
                <w:b/>
                <w:bCs/>
              </w:rPr>
              <w:t>r</w:t>
            </w:r>
            <w:r>
              <w:rPr/>
              <w:t>o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Т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T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t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Т</w:t>
            </w:r>
            <w:r>
              <w:rPr/>
              <w:t>а</w:t>
            </w:r>
            <w:r>
              <w:rPr>
                <w:b/>
                <w:bCs/>
              </w:rPr>
              <w:t>т</w:t>
            </w:r>
            <w:r>
              <w:rPr/>
              <w:t xml:space="preserve">арин – </w:t>
            </w:r>
            <w:r>
              <w:rPr>
                <w:b/>
                <w:bCs/>
              </w:rPr>
              <w:t>T</w:t>
            </w:r>
            <w:r>
              <w:rPr/>
              <w:t>a</w:t>
            </w:r>
            <w:r>
              <w:rPr>
                <w:b/>
                <w:bCs/>
              </w:rPr>
              <w:t>t</w:t>
            </w:r>
            <w:r>
              <w:rPr/>
              <w:t>aryn</w:t>
            </w:r>
          </w:p>
        </w:tc>
      </w:tr>
      <w:tr>
        <w:trPr/>
        <w:tc>
          <w:tcPr>
            <w:tcW w:w="2203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У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U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u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У</w:t>
            </w:r>
            <w:r>
              <w:rPr/>
              <w:t>дм</w:t>
            </w:r>
            <w:r>
              <w:rPr>
                <w:b/>
                <w:bCs/>
              </w:rPr>
              <w:t>у</w:t>
            </w:r>
            <w:r>
              <w:rPr/>
              <w:t xml:space="preserve">рт – </w:t>
            </w:r>
            <w:r>
              <w:rPr>
                <w:b/>
                <w:bCs/>
              </w:rPr>
              <w:t>U</w:t>
            </w:r>
            <w:r>
              <w:rPr/>
              <w:t>dm</w:t>
            </w:r>
            <w:r>
              <w:rPr>
                <w:b/>
                <w:bCs/>
              </w:rPr>
              <w:t>u</w:t>
            </w:r>
            <w:r>
              <w:rPr/>
              <w:t xml:space="preserve">rt </w:t>
            </w:r>
          </w:p>
        </w:tc>
      </w:tr>
    </w:tbl>
    <w:p>
      <w:pPr>
        <w:pStyle w:val="Normal"/>
        <w:ind w:hanging="0"/>
        <w:jc w:val="center"/>
        <w:rPr/>
      </w:pPr>
      <w:r>
        <w:br w:type="page"/>
      </w:r>
      <w:r>
        <w:rPr/>
        <w:t>Закінчення таблиці 1</w:t>
      </w:r>
    </w:p>
    <w:tbl>
      <w:tblPr>
        <w:tblW w:w="9643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noHBand="0" w:noVBand="0" w:firstColumn="0" w:lastRow="0" w:lastColumn="0" w:firstRow="0"/>
      </w:tblPr>
      <w:tblGrid>
        <w:gridCol w:w="1069"/>
        <w:gridCol w:w="32"/>
        <w:gridCol w:w="1102"/>
        <w:gridCol w:w="1701"/>
        <w:gridCol w:w="1843"/>
        <w:gridCol w:w="3896"/>
      </w:tblGrid>
      <w:tr>
        <w:trPr/>
        <w:tc>
          <w:tcPr>
            <w:tcW w:w="110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1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4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5</w:t>
            </w:r>
          </w:p>
        </w:tc>
      </w:tr>
      <w:tr>
        <w:trPr/>
        <w:tc>
          <w:tcPr>
            <w:tcW w:w="2203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Ф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F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f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Ф</w:t>
            </w:r>
            <w:r>
              <w:rPr/>
              <w:t>ан</w:t>
            </w:r>
            <w:r>
              <w:rPr>
                <w:b/>
                <w:bCs/>
              </w:rPr>
              <w:t>ф</w:t>
            </w:r>
            <w:r>
              <w:rPr/>
              <w:t xml:space="preserve">ара – </w:t>
            </w:r>
            <w:r>
              <w:rPr>
                <w:b/>
                <w:bCs/>
              </w:rPr>
              <w:t>F</w:t>
            </w:r>
            <w:r>
              <w:rPr/>
              <w:t>an</w:t>
            </w:r>
            <w:r>
              <w:rPr>
                <w:b/>
                <w:bCs/>
              </w:rPr>
              <w:t>f</w:t>
            </w:r>
            <w:r>
              <w:rPr/>
              <w:t>ara</w:t>
            </w:r>
          </w:p>
        </w:tc>
      </w:tr>
      <w:tr>
        <w:trPr/>
        <w:tc>
          <w:tcPr>
            <w:tcW w:w="220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Х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Kh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kh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Х</w:t>
            </w:r>
            <w:r>
              <w:rPr/>
              <w:t xml:space="preserve">ід – </w:t>
            </w:r>
            <w:r>
              <w:rPr>
                <w:b/>
                <w:bCs/>
              </w:rPr>
              <w:t>Kh</w:t>
            </w:r>
            <w:r>
              <w:rPr/>
              <w:t>id. В</w:t>
            </w:r>
            <w:r>
              <w:rPr>
                <w:b/>
                <w:bCs/>
              </w:rPr>
              <w:t>х</w:t>
            </w:r>
            <w:r>
              <w:rPr/>
              <w:t>ід – V</w:t>
            </w:r>
            <w:r>
              <w:rPr>
                <w:b/>
                <w:bCs/>
              </w:rPr>
              <w:t>kh</w:t>
            </w:r>
            <w:r>
              <w:rPr/>
              <w:t>id</w:t>
            </w:r>
          </w:p>
        </w:tc>
      </w:tr>
      <w:tr>
        <w:trPr/>
        <w:tc>
          <w:tcPr>
            <w:tcW w:w="220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Ц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Ts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ts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Ц</w:t>
            </w:r>
            <w:r>
              <w:rPr/>
              <w:t xml:space="preserve">і – </w:t>
            </w:r>
            <w:r>
              <w:rPr>
                <w:b/>
                <w:bCs/>
              </w:rPr>
              <w:t>Ts</w:t>
            </w:r>
            <w:r>
              <w:rPr/>
              <w:t>i. Лан</w:t>
            </w:r>
            <w:r>
              <w:rPr>
                <w:b/>
                <w:bCs/>
              </w:rPr>
              <w:t>ц</w:t>
            </w:r>
            <w:r>
              <w:rPr/>
              <w:t>юг – Lan</w:t>
            </w:r>
            <w:r>
              <w:rPr>
                <w:b/>
                <w:bCs/>
              </w:rPr>
              <w:t>ts</w:t>
            </w:r>
            <w:r>
              <w:rPr/>
              <w:t>iuh</w:t>
            </w:r>
          </w:p>
        </w:tc>
      </w:tr>
      <w:tr>
        <w:trPr/>
        <w:tc>
          <w:tcPr>
            <w:tcW w:w="220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Ч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Ch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ch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Ч</w:t>
            </w:r>
            <w:r>
              <w:rPr/>
              <w:t>е</w:t>
            </w:r>
            <w:r>
              <w:rPr>
                <w:b/>
                <w:bCs/>
              </w:rPr>
              <w:t>ч</w:t>
            </w:r>
            <w:r>
              <w:rPr/>
              <w:t xml:space="preserve">етов – </w:t>
            </w:r>
            <w:r>
              <w:rPr>
                <w:b/>
                <w:bCs/>
              </w:rPr>
              <w:t>Ch</w:t>
            </w:r>
            <w:r>
              <w:rPr/>
              <w:t>e</w:t>
            </w:r>
            <w:r>
              <w:rPr>
                <w:b/>
                <w:bCs/>
              </w:rPr>
              <w:t>ch</w:t>
            </w:r>
            <w:r>
              <w:rPr/>
              <w:t>etov</w:t>
            </w:r>
          </w:p>
        </w:tc>
      </w:tr>
      <w:tr>
        <w:trPr/>
        <w:tc>
          <w:tcPr>
            <w:tcW w:w="220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Ш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Sh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sh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Ш</w:t>
            </w:r>
            <w:r>
              <w:rPr/>
              <w:t>у</w:t>
            </w:r>
            <w:r>
              <w:rPr>
                <w:b/>
                <w:bCs/>
              </w:rPr>
              <w:t>ш</w:t>
            </w:r>
            <w:r>
              <w:rPr/>
              <w:t xml:space="preserve">ляков – </w:t>
            </w:r>
            <w:r>
              <w:rPr>
                <w:b/>
                <w:bCs/>
              </w:rPr>
              <w:t>Sh</w:t>
            </w:r>
            <w:r>
              <w:rPr/>
              <w:t>u</w:t>
            </w:r>
            <w:r>
              <w:rPr>
                <w:b/>
                <w:bCs/>
              </w:rPr>
              <w:t>sh</w:t>
            </w:r>
            <w:r>
              <w:rPr/>
              <w:t>liakov</w:t>
            </w:r>
          </w:p>
        </w:tc>
      </w:tr>
      <w:tr>
        <w:trPr/>
        <w:tc>
          <w:tcPr>
            <w:tcW w:w="22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Щ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Shch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shch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Щ</w:t>
            </w:r>
            <w:r>
              <w:rPr/>
              <w:t xml:space="preserve">е – </w:t>
            </w:r>
            <w:r>
              <w:rPr>
                <w:b/>
                <w:bCs/>
              </w:rPr>
              <w:t>Shch</w:t>
            </w:r>
            <w:r>
              <w:rPr/>
              <w:t>e, Клі</w:t>
            </w:r>
            <w:r>
              <w:rPr>
                <w:b/>
                <w:bCs/>
              </w:rPr>
              <w:t>щ</w:t>
            </w:r>
            <w:r>
              <w:rPr/>
              <w:t xml:space="preserve"> – Kli</w:t>
            </w:r>
            <w:r>
              <w:rPr>
                <w:b/>
                <w:bCs/>
              </w:rPr>
              <w:t>shch</w:t>
            </w:r>
          </w:p>
        </w:tc>
      </w:tr>
      <w:tr>
        <w:trPr/>
        <w:tc>
          <w:tcPr>
            <w:tcW w:w="1069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ь, ’</w:t>
            </w:r>
          </w:p>
        </w:tc>
        <w:tc>
          <w:tcPr>
            <w:tcW w:w="113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ь, ъ</w:t>
            </w:r>
          </w:p>
        </w:tc>
        <w:tc>
          <w:tcPr>
            <w:tcW w:w="3544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Не відтворюються латиною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Сіл</w:t>
            </w:r>
            <w:r>
              <w:rPr>
                <w:b/>
                <w:bCs/>
              </w:rPr>
              <w:t>ь</w:t>
            </w:r>
            <w:r>
              <w:rPr/>
              <w:t xml:space="preserve"> – Sil, Б</w:t>
            </w:r>
            <w:r>
              <w:rPr>
                <w:b/>
                <w:bCs/>
              </w:rPr>
              <w:t>’</w:t>
            </w:r>
            <w:r>
              <w:rPr/>
              <w:t>єф – Bief</w:t>
            </w:r>
          </w:p>
        </w:tc>
      </w:tr>
      <w:tr>
        <w:trPr/>
        <w:tc>
          <w:tcPr>
            <w:tcW w:w="220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Ю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Yu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iu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Ю</w:t>
            </w:r>
            <w:r>
              <w:rPr/>
              <w:t xml:space="preserve">рій – </w:t>
            </w:r>
            <w:r>
              <w:rPr>
                <w:b/>
                <w:bCs/>
              </w:rPr>
              <w:t>Yu</w:t>
            </w:r>
            <w:r>
              <w:rPr/>
              <w:t>rii. Кл</w:t>
            </w:r>
            <w:r>
              <w:rPr>
                <w:b/>
                <w:bCs/>
              </w:rPr>
              <w:t>ю</w:t>
            </w:r>
            <w:r>
              <w:rPr/>
              <w:t>ч – Kl</w:t>
            </w:r>
            <w:r>
              <w:rPr>
                <w:b/>
                <w:bCs/>
              </w:rPr>
              <w:t>iu</w:t>
            </w:r>
            <w:r>
              <w:rPr/>
              <w:t>ch</w:t>
            </w:r>
          </w:p>
        </w:tc>
      </w:tr>
      <w:tr>
        <w:trPr/>
        <w:tc>
          <w:tcPr>
            <w:tcW w:w="220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/>
              <w:t>Я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Ya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lang w:val="en-US"/>
              </w:rPr>
              <w:t>ia</w:t>
            </w:r>
          </w:p>
        </w:tc>
        <w:tc>
          <w:tcPr>
            <w:tcW w:w="3896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07TableText"/>
              <w:rPr/>
            </w:pPr>
            <w:r>
              <w:rPr>
                <w:b/>
                <w:bCs/>
              </w:rPr>
              <w:t>Я</w:t>
            </w:r>
            <w:r>
              <w:rPr/>
              <w:t>гн</w:t>
            </w:r>
            <w:r>
              <w:rPr>
                <w:b/>
                <w:bCs/>
              </w:rPr>
              <w:t>я</w:t>
            </w:r>
            <w:r>
              <w:rPr/>
              <w:t xml:space="preserve">тко – </w:t>
            </w:r>
            <w:r>
              <w:rPr>
                <w:b/>
                <w:bCs/>
              </w:rPr>
              <w:t>Ya</w:t>
            </w:r>
            <w:r>
              <w:rPr/>
              <w:t>hn</w:t>
            </w:r>
            <w:r>
              <w:rPr>
                <w:b/>
                <w:bCs/>
              </w:rPr>
              <w:t>ia</w:t>
            </w:r>
            <w:r>
              <w:rPr/>
              <w:t>tko</w:t>
            </w:r>
          </w:p>
        </w:tc>
      </w:tr>
    </w:tbl>
    <w:p>
      <w:pPr>
        <w:pStyle w:val="Normal"/>
        <w:rPr/>
      </w:pPr>
      <w:r>
        <w:rPr/>
        <w:t>Примітки:</w:t>
      </w:r>
    </w:p>
    <w:p>
      <w:pPr>
        <w:pStyle w:val="Normal"/>
        <w:rPr/>
      </w:pPr>
      <w:r>
        <w:rPr/>
        <w:t>1. Транслітерація здійснюється відтворенням кожної української літери латиницею, окрім м’якого знака та апострофа (та російськомовного твердого знака), які не відтворюються.</w:t>
      </w:r>
    </w:p>
    <w:p>
      <w:pPr>
        <w:pStyle w:val="Normal"/>
        <w:rPr/>
      </w:pPr>
      <w:r>
        <w:rPr/>
        <w:t>2. Сполучення "зг" відтворюється як "zgh" на відміну від сполучення "zh", що відповідає "ж".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</w:r>
    </w:p>
    <w:p>
      <w:pPr>
        <w:pStyle w:val="Normal"/>
        <w:ind w:hanging="0"/>
        <w:jc w:val="center"/>
        <w:rPr>
          <w:rFonts w:eastAsia="" w:cs="Times New Roman" w:eastAsiaTheme="minorEastAsia"/>
          <w:b/>
          <w:bCs/>
          <w:szCs w:val="28"/>
        </w:rPr>
      </w:pPr>
      <w:r>
        <w:rPr>
          <w:rFonts w:eastAsia="" w:cs="Times New Roman" w:eastAsiaTheme="minorEastAsia"/>
          <w:b/>
          <w:bCs/>
          <w:szCs w:val="28"/>
        </w:rPr>
        <w:t>References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Книги одного автора: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1. Dovhaliuk V. B. Aerodynamika ventyliatsii. IVNVKP “Ukrheliote</w:t>
      </w:r>
      <w:r>
        <w:rPr>
          <w:rFonts w:eastAsia="" w:cs="Times New Roman" w:eastAsiaTheme="minorEastAsia"/>
          <w:szCs w:val="28"/>
          <w:lang w:val="en-US"/>
        </w:rPr>
        <w:t>k</w:t>
      </w:r>
      <w:r>
        <w:rPr>
          <w:rFonts w:eastAsia="" w:cs="Times New Roman" w:eastAsiaTheme="minorEastAsia"/>
          <w:szCs w:val="28"/>
        </w:rPr>
        <w:t xml:space="preserve">h”, 2015. </w:t>
      </w:r>
      <w:r>
        <w:rPr>
          <w:rFonts w:eastAsia="" w:cs="Times New Roman" w:eastAsiaTheme="minorEastAsia"/>
          <w:szCs w:val="28"/>
        </w:rPr>
        <w:t>(in Ukrainian)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 xml:space="preserve">2. Juodis E. Vedinimas. Technika, 2008. </w:t>
      </w:r>
      <w:r>
        <w:rPr>
          <w:rFonts w:eastAsia="" w:cs="Times New Roman" w:eastAsiaTheme="minorEastAsia"/>
          <w:szCs w:val="28"/>
        </w:rPr>
        <w:t>(in Lithuanian)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Книги двох та більше авторів: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 xml:space="preserve">3. </w:t>
      </w:r>
      <w:r>
        <w:rPr>
          <w:rFonts w:eastAsia="" w:cs="Times New Roman" w:eastAsiaTheme="minorEastAsia"/>
          <w:szCs w:val="28"/>
        </w:rPr>
        <w:t>Tkachenko V</w:t>
      </w:r>
      <w:r>
        <w:rPr>
          <w:rFonts w:eastAsia="" w:cs="Times New Roman" w:eastAsiaTheme="minorEastAsia"/>
          <w:szCs w:val="28"/>
        </w:rPr>
        <w:t xml:space="preserve">. </w:t>
      </w:r>
      <w:r>
        <w:rPr>
          <w:rFonts w:eastAsia="" w:cs="Times New Roman" w:eastAsiaTheme="minorEastAsia"/>
          <w:szCs w:val="28"/>
        </w:rPr>
        <w:t>A</w:t>
      </w:r>
      <w:r>
        <w:rPr>
          <w:rFonts w:eastAsia="" w:cs="Times New Roman" w:eastAsiaTheme="minorEastAsia"/>
          <w:szCs w:val="28"/>
        </w:rPr>
        <w:t xml:space="preserve">., </w:t>
      </w:r>
      <w:r>
        <w:rPr>
          <w:rFonts w:eastAsia="" w:cs="Times New Roman" w:eastAsiaTheme="minorEastAsia"/>
          <w:szCs w:val="28"/>
        </w:rPr>
        <w:t>Skliarenko</w:t>
      </w:r>
      <w:r>
        <w:rPr>
          <w:rFonts w:eastAsia="" w:cs="Times New Roman" w:eastAsiaTheme="minorEastAsia"/>
          <w:szCs w:val="28"/>
        </w:rPr>
        <w:t xml:space="preserve"> </w:t>
      </w:r>
      <w:r>
        <w:rPr>
          <w:rFonts w:eastAsia="" w:cs="Times New Roman" w:eastAsiaTheme="minorEastAsia"/>
          <w:szCs w:val="28"/>
        </w:rPr>
        <w:t>O</w:t>
      </w:r>
      <w:r>
        <w:rPr>
          <w:rFonts w:eastAsia="" w:cs="Times New Roman" w:eastAsiaTheme="minorEastAsia"/>
          <w:szCs w:val="28"/>
        </w:rPr>
        <w:t xml:space="preserve">. </w:t>
      </w:r>
      <w:r>
        <w:rPr>
          <w:rFonts w:eastAsia="" w:cs="Times New Roman" w:eastAsiaTheme="minorEastAsia"/>
          <w:szCs w:val="28"/>
        </w:rPr>
        <w:t>M</w:t>
      </w:r>
      <w:r>
        <w:rPr>
          <w:rFonts w:eastAsia="" w:cs="Times New Roman" w:eastAsiaTheme="minorEastAsia"/>
          <w:szCs w:val="28"/>
        </w:rPr>
        <w:t xml:space="preserve">. </w:t>
      </w:r>
      <w:r>
        <w:rPr>
          <w:rFonts w:eastAsia="" w:cs="Times New Roman" w:eastAsiaTheme="minorEastAsia"/>
          <w:szCs w:val="28"/>
        </w:rPr>
        <w:t>Hazopostachannia</w:t>
      </w:r>
      <w:r>
        <w:rPr>
          <w:rFonts w:eastAsia="" w:cs="Times New Roman" w:eastAsiaTheme="minorEastAsia"/>
          <w:szCs w:val="28"/>
        </w:rPr>
        <w:t xml:space="preserve">. </w:t>
      </w:r>
      <w:r>
        <w:rPr>
          <w:rFonts w:eastAsia="" w:cs="Times New Roman" w:eastAsiaTheme="minorEastAsia"/>
          <w:szCs w:val="28"/>
        </w:rPr>
        <w:t>Ukrheliotekh</w:t>
      </w:r>
      <w:r>
        <w:rPr>
          <w:rFonts w:eastAsia="" w:cs="Times New Roman" w:eastAsiaTheme="minorEastAsia"/>
          <w:szCs w:val="28"/>
        </w:rPr>
        <w:t xml:space="preserve">, </w:t>
      </w:r>
      <w:r>
        <w:rPr>
          <w:rFonts w:eastAsia="" w:cs="Times New Roman" w:eastAsiaTheme="minorEastAsia"/>
          <w:szCs w:val="28"/>
        </w:rPr>
        <w:t>2012</w:t>
      </w:r>
      <w:r>
        <w:rPr>
          <w:rFonts w:eastAsia="" w:cs="Times New Roman" w:eastAsiaTheme="minorEastAsia"/>
          <w:szCs w:val="28"/>
        </w:rPr>
        <w:t xml:space="preserve">. </w:t>
      </w:r>
      <w:r>
        <w:rPr>
          <w:rFonts w:eastAsia="" w:cs="Times New Roman" w:eastAsiaTheme="minorEastAsia"/>
          <w:szCs w:val="28"/>
        </w:rPr>
        <w:t>(in Ukrainian)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Правила оформлення авторів залежно від кількості зберігаються для всіх подальших випадків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Том багатотомного видання: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  <w:lang w:val="en-US"/>
        </w:rPr>
        <w:t>4</w:t>
      </w:r>
      <w:r>
        <w:rPr>
          <w:rFonts w:eastAsia="" w:cs="Times New Roman" w:eastAsiaTheme="minorEastAsia"/>
          <w:szCs w:val="28"/>
        </w:rPr>
        <w:t>. Bryk M. T. Encyclopedia of Membranes. Vol. 2, Vyd. dim «Kyievo-Mogylianska akademiia», 2005.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Дисертації: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 xml:space="preserve">5. Dziubenko V. G. Avtonomni systemy teplopostachannia z glybokoiu utilizatsiieiu teploty vidvidnyh gaziv kotliv. Diss. Kyiv National University of Construction and Architecture, 2016. </w:t>
      </w:r>
      <w:r>
        <w:rPr>
          <w:rFonts w:eastAsia="" w:cs="Times New Roman" w:eastAsiaTheme="minorEastAsia"/>
          <w:szCs w:val="28"/>
        </w:rPr>
        <w:t>(in Ukrainian)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Автореферати: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 xml:space="preserve">6. Dziubenko V. G. Avtonomni systemy teplopostachannia z glybokoiu utilizatsiieiu teploty vidvidnyh gaziv kotliv. Diss. abstract. Kyiv National University of Construction and Architecture, 2016.  </w:t>
      </w:r>
      <w:r>
        <w:rPr>
          <w:rFonts w:eastAsia="" w:cs="Times New Roman" w:eastAsiaTheme="minorEastAsia"/>
          <w:szCs w:val="28"/>
        </w:rPr>
        <w:t>(in Ukrainian)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Нормативні документи: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  <w:lang w:val="en-US"/>
        </w:rPr>
        <w:t>7</w:t>
      </w:r>
      <w:r>
        <w:rPr>
          <w:rFonts w:eastAsia="" w:cs="Times New Roman" w:eastAsiaTheme="minorEastAsia"/>
          <w:szCs w:val="28"/>
        </w:rPr>
        <w:t xml:space="preserve">. Opalennia, ventyliatsiia ta kondytsionuvannia. DBN V.2.5-67:2013, Ukrarkhbudinform, 2013. </w:t>
      </w:r>
      <w:r>
        <w:rPr>
          <w:rFonts w:eastAsia="" w:cs="Times New Roman" w:eastAsiaTheme="minorEastAsia"/>
          <w:szCs w:val="28"/>
        </w:rPr>
        <w:t>(in Ukrainian)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Авторські свідоцтва та патенти: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 xml:space="preserve">8. Chaban I. V., Dovhaliuk V. B. “Prystrii dlia obrobky povitria.” Patent of Ukraine 106579. 25 March 2014. </w:t>
      </w:r>
      <w:r>
        <w:rPr>
          <w:rFonts w:eastAsia="" w:cs="Times New Roman" w:eastAsiaTheme="minorEastAsia"/>
          <w:szCs w:val="28"/>
        </w:rPr>
        <w:t>(in Ukrainian)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Статті та розділи з книг: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  <w:lang w:val="en-US"/>
        </w:rPr>
        <w:t>9</w:t>
      </w:r>
      <w:r>
        <w:rPr>
          <w:rFonts w:eastAsia="" w:cs="Times New Roman" w:eastAsiaTheme="minorEastAsia"/>
          <w:szCs w:val="28"/>
        </w:rPr>
        <w:t xml:space="preserve">. Tymkiv Ya. “Mechanizmy wspуlpracy i instytucjonalizacja stosunkуw Ukraina – UE.” Polityka bezpieczeństwa narodowego państw obszaru WNP. wybrane problemy, Wyd-wo Adam Marszałek, 2009. </w:t>
      </w:r>
      <w:r>
        <w:rPr>
          <w:rFonts w:eastAsia="" w:cs="Times New Roman" w:eastAsiaTheme="minorEastAsia"/>
          <w:szCs w:val="28"/>
        </w:rPr>
        <w:t>(in Polish)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Статті зі збірників: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 xml:space="preserve">10. Tkachuk A.Ya. “Rozrachunkova model userednenogo rukhu v turbulentnii zoni ploskykh i visesymetrychnykh prystinnych prymezhovykh shariv.” Ventyliatsiia, osvitlennia ta teplohazopostachannia: Naukovo-tekhnichnyi zbirnyk, Iss. 2, 2001, pp. 3-18. </w:t>
      </w:r>
      <w:r>
        <w:rPr>
          <w:rFonts w:eastAsia="" w:cs="Times New Roman" w:eastAsiaTheme="minorEastAsia"/>
          <w:szCs w:val="28"/>
        </w:rPr>
        <w:t>(in Ukrainian)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Статті з журналів: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 xml:space="preserve">11. Malkin E.C. “Teplotechnichni kharakterystyky vysokoefektyvnykh teploobminnykiv z hrebinchastymy mikrokanalamy.” Nova Tema, no.2, 2010. </w:t>
      </w:r>
      <w:r>
        <w:rPr>
          <w:rFonts w:eastAsia="" w:cs="Times New Roman" w:eastAsiaTheme="minorEastAsia"/>
          <w:szCs w:val="28"/>
        </w:rPr>
        <w:t>(in Ukrainian)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1</w:t>
      </w:r>
      <w:r>
        <w:rPr>
          <w:rFonts w:eastAsia="" w:cs="Times New Roman" w:eastAsiaTheme="minorEastAsia"/>
          <w:szCs w:val="28"/>
          <w:lang w:val="en-US"/>
        </w:rPr>
        <w:t>2</w:t>
      </w:r>
      <w:r>
        <w:rPr>
          <w:rFonts w:eastAsia="" w:cs="Times New Roman" w:eastAsiaTheme="minorEastAsia"/>
          <w:szCs w:val="28"/>
        </w:rPr>
        <w:t xml:space="preserve">. </w:t>
      </w:r>
      <w:r>
        <w:rPr>
          <w:rFonts w:eastAsia="" w:cs="Times New Roman" w:eastAsiaTheme="minorEastAsia"/>
          <w:szCs w:val="28"/>
        </w:rPr>
        <w:t>Savin V., Zhelykh V.</w:t>
      </w:r>
      <w:r>
        <w:rPr>
          <w:rFonts w:eastAsia="" w:cs="Times New Roman" w:eastAsiaTheme="minorEastAsia"/>
          <w:szCs w:val="28"/>
        </w:rPr>
        <w:t xml:space="preserve"> “</w:t>
      </w:r>
      <w:r>
        <w:rPr>
          <w:rFonts w:eastAsia="" w:cs="Times New Roman" w:eastAsiaTheme="minorEastAsia"/>
          <w:szCs w:val="28"/>
        </w:rPr>
        <w:t>Recuperators as an important element for energy efficiency in building ventilation systems</w:t>
      </w:r>
      <w:r>
        <w:rPr>
          <w:rFonts w:eastAsia="" w:cs="Times New Roman" w:eastAsiaTheme="minorEastAsia"/>
          <w:szCs w:val="28"/>
        </w:rPr>
        <w:t>” Construction of Optimized Energy Potential, vol. 1</w:t>
      </w:r>
      <w:r>
        <w:rPr>
          <w:rFonts w:eastAsia="" w:cs="Times New Roman" w:eastAsiaTheme="minorEastAsia"/>
          <w:szCs w:val="28"/>
        </w:rPr>
        <w:t>2</w:t>
      </w:r>
      <w:r>
        <w:rPr>
          <w:rFonts w:eastAsia="" w:cs="Times New Roman" w:eastAsiaTheme="minorEastAsia"/>
          <w:szCs w:val="28"/>
        </w:rPr>
        <w:t xml:space="preserve">, no. </w:t>
      </w:r>
      <w:r>
        <w:rPr>
          <w:rFonts w:eastAsia="" w:cs="Times New Roman" w:eastAsiaTheme="minorEastAsia"/>
          <w:szCs w:val="28"/>
        </w:rPr>
        <w:t>1</w:t>
      </w:r>
      <w:r>
        <w:rPr>
          <w:rFonts w:eastAsia="" w:cs="Times New Roman" w:eastAsiaTheme="minorEastAsia"/>
          <w:szCs w:val="28"/>
        </w:rPr>
        <w:t>, 20</w:t>
      </w:r>
      <w:r>
        <w:rPr>
          <w:rFonts w:eastAsia="" w:cs="Times New Roman" w:eastAsiaTheme="minorEastAsia"/>
          <w:szCs w:val="28"/>
        </w:rPr>
        <w:t>23</w:t>
      </w:r>
      <w:r>
        <w:rPr>
          <w:rFonts w:eastAsia="" w:cs="Times New Roman" w:eastAsiaTheme="minorEastAsia"/>
          <w:szCs w:val="28"/>
        </w:rPr>
        <w:t xml:space="preserve">, pp. </w:t>
      </w:r>
      <w:r>
        <w:rPr>
          <w:rFonts w:eastAsia="" w:cs="Times New Roman" w:eastAsiaTheme="minorEastAsia"/>
          <w:szCs w:val="28"/>
        </w:rPr>
        <w:t>71</w:t>
      </w:r>
      <w:r>
        <w:rPr>
          <w:rFonts w:eastAsia="" w:cs="Times New Roman" w:eastAsiaTheme="minorEastAsia"/>
          <w:szCs w:val="28"/>
        </w:rPr>
        <w:t>-</w:t>
      </w:r>
      <w:r>
        <w:rPr>
          <w:rFonts w:eastAsia="" w:cs="Times New Roman" w:eastAsiaTheme="minorEastAsia"/>
          <w:szCs w:val="28"/>
        </w:rPr>
        <w:t>78</w:t>
      </w:r>
      <w:r>
        <w:rPr>
          <w:rFonts w:eastAsia="" w:cs="Times New Roman" w:eastAsiaTheme="minorEastAsia"/>
          <w:szCs w:val="28"/>
        </w:rPr>
        <w:t xml:space="preserve">. </w:t>
      </w:r>
      <w:hyperlink r:id="rId4">
        <w:r>
          <w:rPr>
            <w:rStyle w:val="Hyperlink"/>
            <w:rFonts w:eastAsia="" w:cs="Times New Roman" w:eastAsiaTheme="minorEastAsia"/>
            <w:szCs w:val="28"/>
          </w:rPr>
          <w:t>https://doi.org/10.17512/bozpe.2023.12.08</w:t>
        </w:r>
      </w:hyperlink>
      <w:hyperlink r:id="rId5">
        <w:r>
          <w:rPr>
            <w:rFonts w:eastAsia="" w:cs="Times New Roman" w:eastAsiaTheme="minorEastAsia"/>
            <w:szCs w:val="28"/>
          </w:rPr>
          <w:t xml:space="preserve"> </w:t>
        </w:r>
      </w:hyperlink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Доповіді на конференцію: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 xml:space="preserve">13. Shuvaieva-Nechyporuk O. Yu. “Soniachnyi opaliuvalnyi prylad dlia pasyvnych system opalennia.” Bud-MaisterKlas. Robocha programa ta tezy dopovidei Pershoi Vseukrainskoi naukovo-praktychnoi konferentsii mo-lodych vchenych, aspirantiv i stydentiv, 26-27 november 2015., Kyiv, Ukraine, Kyiv National University of Construc-tion and Architecture, 2015, pp. 165-166. </w:t>
      </w:r>
      <w:r>
        <w:rPr>
          <w:rFonts w:eastAsia="" w:cs="Times New Roman" w:eastAsiaTheme="minorEastAsia"/>
          <w:szCs w:val="28"/>
        </w:rPr>
        <w:t>(in Ukrainian)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1</w:t>
      </w:r>
      <w:r>
        <w:rPr>
          <w:rFonts w:eastAsia="" w:cs="Times New Roman" w:eastAsiaTheme="minorEastAsia"/>
          <w:szCs w:val="28"/>
          <w:lang w:val="en-US"/>
        </w:rPr>
        <w:t>4</w:t>
      </w:r>
      <w:r>
        <w:rPr>
          <w:rFonts w:eastAsia="" w:cs="Times New Roman" w:eastAsiaTheme="minorEastAsia"/>
          <w:szCs w:val="28"/>
        </w:rPr>
        <w:t>. Gumen O., Mileikovskyi V. “The Geometrical Approach to Calculation of Boundary Layer Between Flows.” The 16th International Conference on Geometry and Graphics (ICGG-2014). Program and Abstracts, Innsbruck, August, 4-8, 2014, 2014, pp. 120-123.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>Віддалені електронні ресурси: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  <w:t xml:space="preserve">15. </w:t>
      </w:r>
      <w:r>
        <w:rPr>
          <w:rFonts w:eastAsia="" w:cs="Times New Roman" w:eastAsiaTheme="minorEastAsia"/>
          <w:szCs w:val="28"/>
          <w:lang w:val="en-US"/>
        </w:rPr>
        <w:t>Tkachenko</w:t>
      </w:r>
      <w:r>
        <w:rPr>
          <w:rFonts w:eastAsia="" w:cs="Times New Roman" w:eastAsiaTheme="minorEastAsia"/>
          <w:szCs w:val="28"/>
        </w:rPr>
        <w:t xml:space="preserve"> </w:t>
      </w:r>
      <w:r>
        <w:rPr>
          <w:rFonts w:eastAsia="" w:cs="Times New Roman" w:eastAsiaTheme="minorEastAsia"/>
          <w:szCs w:val="28"/>
          <w:lang w:val="en-US"/>
        </w:rPr>
        <w:t>T</w:t>
      </w:r>
      <w:r>
        <w:rPr>
          <w:rFonts w:eastAsia="" w:cs="Times New Roman" w:eastAsiaTheme="minorEastAsia"/>
          <w:szCs w:val="28"/>
        </w:rPr>
        <w:t xml:space="preserve">., </w:t>
      </w:r>
      <w:r>
        <w:rPr>
          <w:rFonts w:eastAsia="" w:cs="Times New Roman" w:eastAsiaTheme="minorEastAsia"/>
          <w:szCs w:val="28"/>
          <w:lang w:val="en-US"/>
        </w:rPr>
        <w:t>Mileikovskyi</w:t>
      </w:r>
      <w:r>
        <w:rPr>
          <w:rFonts w:eastAsia="" w:cs="Times New Roman" w:eastAsiaTheme="minorEastAsia"/>
          <w:szCs w:val="28"/>
        </w:rPr>
        <w:t xml:space="preserve"> </w:t>
      </w:r>
      <w:r>
        <w:rPr>
          <w:rFonts w:eastAsia="" w:cs="Times New Roman" w:eastAsiaTheme="minorEastAsia"/>
          <w:szCs w:val="28"/>
          <w:lang w:val="en-US"/>
        </w:rPr>
        <w:t>V</w:t>
      </w:r>
      <w:r>
        <w:rPr>
          <w:rFonts w:eastAsia="" w:cs="Times New Roman" w:eastAsiaTheme="minorEastAsia"/>
          <w:szCs w:val="28"/>
        </w:rPr>
        <w:t xml:space="preserve">. “«Zeleni konstruktsii» - perspektyvna tekhnolohiia pisliavoiennoho vidnovlennia” Detsentralizatsiia, 31 </w:t>
      </w:r>
      <w:r>
        <w:rPr>
          <w:rFonts w:eastAsia="" w:cs="Times New Roman" w:eastAsiaTheme="minorEastAsia"/>
          <w:szCs w:val="28"/>
          <w:lang w:val="en-US"/>
        </w:rPr>
        <w:t>May</w:t>
      </w:r>
      <w:r>
        <w:rPr>
          <w:rFonts w:eastAsia="" w:cs="Times New Roman" w:eastAsiaTheme="minorEastAsia"/>
          <w:szCs w:val="28"/>
        </w:rPr>
        <w:t xml:space="preserve"> 2023. </w:t>
      </w:r>
      <w:hyperlink r:id="rId6">
        <w:r>
          <w:rPr>
            <w:rStyle w:val="Hyperlink"/>
            <w:rFonts w:eastAsia="" w:cs="Times New Roman" w:eastAsiaTheme="minorEastAsia"/>
            <w:szCs w:val="28"/>
          </w:rPr>
          <w:t>https://decentralization.gov.ua/news/16666</w:t>
        </w:r>
      </w:hyperlink>
      <w:r>
        <w:rPr>
          <w:rFonts w:eastAsia="" w:cs="Times New Roman" w:eastAsiaTheme="minorEastAsia"/>
          <w:szCs w:val="28"/>
          <w:lang w:val="en-US"/>
        </w:rPr>
        <w:t xml:space="preserve">. </w:t>
      </w:r>
      <w:r>
        <w:rPr>
          <w:rFonts w:eastAsia="" w:cs="Times New Roman" w:eastAsiaTheme="minorEastAsia"/>
          <w:szCs w:val="28"/>
        </w:rPr>
        <w:t xml:space="preserve">Accessed 27 </w:t>
      </w:r>
      <w:r>
        <w:rPr>
          <w:rFonts w:eastAsia="" w:cs="Times New Roman" w:eastAsiaTheme="minorEastAsia"/>
          <w:szCs w:val="28"/>
          <w:lang w:val="en-US"/>
        </w:rPr>
        <w:t>October</w:t>
      </w:r>
      <w:r>
        <w:rPr>
          <w:rFonts w:eastAsia="" w:cs="Times New Roman" w:eastAsiaTheme="minorEastAsia"/>
          <w:szCs w:val="28"/>
        </w:rPr>
        <w:t xml:space="preserve"> 20</w:t>
      </w:r>
      <w:r>
        <w:rPr>
          <w:rFonts w:eastAsia="" w:cs="Times New Roman" w:eastAsiaTheme="minorEastAsia"/>
          <w:szCs w:val="28"/>
          <w:lang w:val="en-US"/>
        </w:rPr>
        <w:t>23</w:t>
      </w:r>
      <w:r>
        <w:rPr>
          <w:rFonts w:eastAsia="" w:cs="Times New Roman" w:eastAsiaTheme="minorEastAsia"/>
          <w:szCs w:val="28"/>
        </w:rPr>
        <w:t xml:space="preserve">. </w:t>
      </w:r>
      <w:r>
        <w:rPr>
          <w:rFonts w:eastAsia="" w:cs="Times New Roman" w:eastAsiaTheme="minorEastAsia"/>
          <w:szCs w:val="28"/>
        </w:rPr>
        <w:t>(in Ukrainian)</w:t>
      </w:r>
    </w:p>
    <w:p>
      <w:pPr>
        <w:pStyle w:val="Normal"/>
        <w:rPr>
          <w:rFonts w:eastAsia="" w:cs="Times New Roman" w:eastAsiaTheme="minorEastAsia"/>
          <w:szCs w:val="28"/>
          <w:lang w:val="en-US"/>
        </w:rPr>
      </w:pPr>
      <w:r>
        <w:rPr>
          <w:rFonts w:eastAsia="" w:cs="Times New Roman" w:eastAsiaTheme="minorEastAsia"/>
          <w:szCs w:val="28"/>
          <w:lang w:val="en-US"/>
        </w:rPr>
        <w:t xml:space="preserve">16. “Vyznachennia neobkhidnoho povitroobminu prymishchen. Rekomendatsii do proektuvannia” Vents. </w:t>
      </w:r>
      <w:hyperlink r:id="rId7">
        <w:r>
          <w:rPr>
            <w:rStyle w:val="Hyperlink"/>
            <w:rFonts w:eastAsia="" w:cs="Times New Roman" w:eastAsiaTheme="minorEastAsia"/>
            <w:szCs w:val="28"/>
            <w:lang w:val="en-US"/>
          </w:rPr>
          <w:t>https://vents.ua/opredelenie-neobhodimosti-vozduhoobmena/</w:t>
        </w:r>
      </w:hyperlink>
      <w:r>
        <w:rPr>
          <w:rFonts w:eastAsia="" w:cs="Times New Roman" w:eastAsiaTheme="minorEastAsia"/>
          <w:szCs w:val="28"/>
          <w:lang w:val="en-US"/>
        </w:rPr>
        <w:t xml:space="preserve"> . Accessed 27 October 2023. </w:t>
      </w:r>
      <w:r>
        <w:rPr>
          <w:rFonts w:eastAsia="" w:cs="Times New Roman" w:eastAsiaTheme="minorEastAsia"/>
          <w:szCs w:val="28"/>
          <w:lang w:val="en-US"/>
        </w:rPr>
        <w:t>(in Ukrainian)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</w:r>
    </w:p>
    <w:p>
      <w:pPr>
        <w:pStyle w:val="Normal"/>
        <w:spacing w:lineRule="auto" w:line="240"/>
        <w:rPr>
          <w:sz w:val="24"/>
          <w:szCs w:val="24"/>
        </w:rPr>
      </w:pPr>
      <w:r>
        <w:rPr>
          <w:rFonts w:eastAsia="" w:cs="Times New Roman" w:eastAsiaTheme="minorEastAsia"/>
          <w:i/>
          <w:iCs/>
          <w:sz w:val="24"/>
          <w:szCs w:val="24"/>
        </w:rPr>
        <w:t xml:space="preserve">Література наводиться у порядку цитування. Посилання наводять за стандартом MLA (Modern Language Association 8th ed.; див. https://owl.english.purdue.edu/owl/resource/747/01/ </w:t>
      </w:r>
      <w:r>
        <w:rPr>
          <w:rFonts w:eastAsia="" w:cs="Times New Roman" w:eastAsiaTheme="minorEastAsia"/>
          <w:i/>
          <w:iCs/>
          <w:sz w:val="24"/>
          <w:szCs w:val="24"/>
          <w:lang w:val="en-US"/>
        </w:rPr>
        <w:t xml:space="preserve">. </w:t>
      </w:r>
      <w:r>
        <w:rPr>
          <w:rFonts w:eastAsia="" w:cs="Times New Roman" w:eastAsiaTheme="minorEastAsia"/>
          <w:i/>
          <w:iCs/>
          <w:sz w:val="24"/>
          <w:szCs w:val="24"/>
        </w:rPr>
        <w:t xml:space="preserve">Використання нерозривних пробілів (ctrl + shift + пробіл), переводів рядку (shift + enter або ctrl + enter) та повторних пробілів (“  “) не рекомендується, оскільки не всі рóботи формування індексів цитування зможуть їх коректно обробити. Відрив ініціалів від прізвища не є помилкою. Посилання мовами, які не використовують латиницю, транслітерують за чинними правилами відповідної країни відповідно до стандартів </w:t>
      </w:r>
      <w:r>
        <w:rPr>
          <w:rFonts w:eastAsia="" w:cs="Times New Roman" w:eastAsiaTheme="minorEastAsia"/>
          <w:i/>
          <w:iCs/>
          <w:sz w:val="24"/>
          <w:szCs w:val="24"/>
          <w:lang w:val="en-US"/>
        </w:rPr>
        <w:t>ICAO</w:t>
      </w:r>
      <w:r>
        <w:rPr>
          <w:rFonts w:eastAsia="" w:cs="Times New Roman" w:eastAsiaTheme="minorEastAsia"/>
          <w:i/>
          <w:iCs/>
          <w:sz w:val="24"/>
          <w:szCs w:val="24"/>
        </w:rPr>
        <w:t xml:space="preserve">. Для української та російської мов можна користуватися табл. 1. </w:t>
      </w:r>
      <w:r>
        <w:rPr>
          <w:rFonts w:eastAsia="" w:cs="Times New Roman" w:eastAsiaTheme="minorEastAsia"/>
          <w:i/>
          <w:iCs/>
          <w:sz w:val="24"/>
          <w:szCs w:val="24"/>
        </w:rPr>
        <w:t>За наявності наприкінці посилання, але до зазначення мови, рекомендується завжди надавати це посилання. Якщо ресурс має DOI, рекомендується надавати його у форматі посилання без позначки «DOI:». Формат посилання https://doi.org/&lt;індентифікатор DOI&gt;.</w:t>
      </w:r>
    </w:p>
    <w:p>
      <w:pPr>
        <w:pStyle w:val="BodyTextIndent2"/>
        <w:spacing w:lineRule="auto" w:line="240"/>
        <w:ind w:firstLine="709" w:left="0"/>
        <w:jc w:val="both"/>
        <w:rPr/>
      </w:pPr>
      <w:r>
        <w:rPr>
          <w:rFonts w:eastAsia="" w:cs="Times New Roman" w:ascii="Times New Roman" w:hAnsi="Times New Roman" w:eastAsiaTheme="minorEastAsia"/>
          <w:i/>
          <w:iCs/>
          <w:sz w:val="24"/>
          <w:szCs w:val="24"/>
          <w:lang w:val="uk-UA"/>
        </w:rPr>
        <w:t>Рекомендується при посиланні на електронний віддалений ресурс упевнитися, що цей ресурс не зникне з часом. Для цього, наприклад, рекомендується перевірити його архівування і, за потреби, заархівувати на Wayback Machine (</w:t>
      </w:r>
      <w:hyperlink r:id="rId8">
        <w:r>
          <w:rPr>
            <w:rStyle w:val="Hyperlink"/>
            <w:rFonts w:eastAsia="" w:cs="Times New Roman" w:ascii="Times New Roman" w:hAnsi="Times New Roman" w:eastAsiaTheme="minorEastAsia"/>
            <w:i/>
            <w:iCs/>
            <w:sz w:val="24"/>
            <w:szCs w:val="24"/>
            <w:lang w:val="uk-UA"/>
          </w:rPr>
          <w:t>https://web.archive.org/</w:t>
        </w:r>
      </w:hyperlink>
      <w:r>
        <w:rPr>
          <w:rFonts w:eastAsia="" w:cs="Times New Roman" w:ascii="Times New Roman" w:hAnsi="Times New Roman" w:eastAsiaTheme="minorEastAsia"/>
          <w:i/>
          <w:iCs/>
          <w:sz w:val="24"/>
          <w:szCs w:val="24"/>
          <w:lang w:val="uk-UA"/>
        </w:rPr>
        <w:t>)</w:t>
      </w:r>
    </w:p>
    <w:p>
      <w:pPr>
        <w:pStyle w:val="Normal"/>
        <w:rPr>
          <w:rFonts w:eastAsia="" w:cs="Times New Roman" w:eastAsiaTheme="minorEastAsia"/>
          <w:szCs w:val="28"/>
        </w:rPr>
      </w:pPr>
      <w:r>
        <w:rPr>
          <w:rFonts w:eastAsia="" w:cs="Times New Roman" w:eastAsiaTheme="minorEastAsia"/>
          <w:szCs w:val="28"/>
        </w:rPr>
      </w:r>
    </w:p>
    <w:p>
      <w:pPr>
        <w:pStyle w:val="Normal"/>
        <w:tabs>
          <w:tab w:val="clear" w:pos="709"/>
          <w:tab w:val="left" w:pos="7888" w:leader="none"/>
        </w:tabs>
        <w:ind w:firstLine="851"/>
        <w:rPr>
          <w:rFonts w:cs="Times New Roman"/>
          <w:szCs w:val="28"/>
          <w:shd w:fill="FFFFFF" w:val="clear"/>
        </w:rPr>
      </w:pPr>
      <w:r>
        <w:rPr>
          <w:rFonts w:cs="Times New Roman"/>
          <w:szCs w:val="28"/>
          <w:shd w:fill="FFFFFF" w:val="clear"/>
        </w:rPr>
      </w:r>
    </w:p>
    <w:p>
      <w:pPr>
        <w:pStyle w:val="UDC"/>
        <w:rPr/>
      </w:pPr>
      <w:r>
        <w:rPr>
          <w:lang w:val="en-US"/>
        </w:rPr>
        <w:t>UDC</w:t>
      </w:r>
      <w:r>
        <w:rPr/>
        <w:t xml:space="preserve"> 622.741.3.022;622.7;620.133</w:t>
        <w:tab/>
      </w:r>
      <w:r>
        <w:rPr>
          <w:lang w:val="en-US"/>
        </w:rPr>
        <w:t>Dr</w:t>
      </w:r>
      <w:r>
        <w:rPr/>
        <w:t xml:space="preserve"> </w:t>
      </w:r>
      <w:r>
        <w:rPr>
          <w:lang w:val="en-US"/>
        </w:rPr>
        <w:t>Hab</w:t>
      </w:r>
      <w:r>
        <w:rPr/>
        <w:t xml:space="preserve">., </w:t>
      </w:r>
      <w:r>
        <w:rPr>
          <w:lang w:val="en-US"/>
        </w:rPr>
        <w:t>Prof</w:t>
      </w:r>
      <w:r>
        <w:rPr/>
        <w:t xml:space="preserve">. </w:t>
      </w:r>
      <w:bookmarkStart w:id="5" w:name="_Hlk149310869"/>
      <w:r>
        <w:rPr>
          <w:b/>
          <w:lang w:val="en-US"/>
        </w:rPr>
        <w:t>Name</w:t>
      </w:r>
      <w:r>
        <w:rPr>
          <w:b/>
        </w:rPr>
        <w:t xml:space="preserve"> </w:t>
      </w:r>
      <w:r>
        <w:rPr>
          <w:b/>
          <w:lang w:val="en-US"/>
        </w:rPr>
        <w:t>Surname</w:t>
      </w:r>
      <w:bookmarkEnd w:id="5"/>
      <w:r>
        <w:rPr/>
        <w:t>,</w:t>
      </w:r>
    </w:p>
    <w:p>
      <w:pPr>
        <w:pStyle w:val="Authors"/>
        <w:rPr>
          <w:rStyle w:val="Hyperlink"/>
          <w:color w:val="auto"/>
          <w:u w:val="none"/>
        </w:rPr>
      </w:pPr>
      <w:bookmarkStart w:id="6" w:name="_Hlk149310807"/>
      <w:bookmarkStart w:id="7" w:name="_Hlk149310725"/>
      <w:r>
        <w:rPr>
          <w:lang w:val="en-US"/>
        </w:rPr>
        <w:t>e_mail</w:t>
      </w:r>
      <w:bookmarkEnd w:id="7"/>
      <w:r>
        <w:rPr>
          <w:rStyle w:val="Hyperlink"/>
          <w:color w:val="auto"/>
          <w:u w:val="none"/>
        </w:rPr>
        <w:t>@</w:t>
      </w:r>
      <w:r>
        <w:rPr>
          <w:rStyle w:val="Hyperlink"/>
          <w:color w:val="auto"/>
          <w:u w:val="none"/>
          <w:lang w:val="en-US"/>
        </w:rPr>
        <w:t>address</w:t>
      </w:r>
      <w:bookmarkEnd w:id="6"/>
      <w:r>
        <w:rPr>
          <w:rStyle w:val="Hyperlink"/>
          <w:color w:val="auto"/>
          <w:u w:val="none"/>
        </w:rPr>
        <w:t>, ORCID: 0000-0000-00000-0000,</w:t>
      </w:r>
    </w:p>
    <w:p>
      <w:pPr>
        <w:pStyle w:val="Authors"/>
        <w:rPr>
          <w:b/>
          <w:sz w:val="32"/>
          <w:szCs w:val="32"/>
        </w:rPr>
      </w:pPr>
      <w:r>
        <w:rPr>
          <w:rStyle w:val="Hyperlink"/>
          <w:color w:val="auto"/>
          <w:u w:val="none"/>
          <w:lang w:val="en-US"/>
        </w:rPr>
        <w:t>PhD</w:t>
      </w:r>
      <w:r>
        <w:rPr>
          <w:rStyle w:val="Hyperlink"/>
          <w:color w:val="auto"/>
          <w:u w:val="none"/>
        </w:rPr>
        <w:t xml:space="preserve">, </w:t>
      </w:r>
      <w:r>
        <w:rPr>
          <w:rStyle w:val="Hyperlink"/>
          <w:color w:val="auto"/>
          <w:u w:val="none"/>
          <w:lang w:val="en-US"/>
        </w:rPr>
        <w:t>Assoc. Prof</w:t>
      </w:r>
      <w:r>
        <w:rPr>
          <w:rStyle w:val="Hyperlink"/>
          <w:color w:val="auto"/>
          <w:u w:val="none"/>
        </w:rPr>
        <w:t xml:space="preserve">. </w:t>
      </w:r>
      <w:r>
        <w:rPr>
          <w:b/>
        </w:rPr>
        <w:t>Name Surname,</w:t>
      </w:r>
    </w:p>
    <w:p>
      <w:pPr>
        <w:pStyle w:val="Authors"/>
        <w:rPr>
          <w:rStyle w:val="Hyperlink"/>
          <w:color w:val="auto"/>
          <w:u w:val="none"/>
        </w:rPr>
      </w:pPr>
      <w:r>
        <w:rPr/>
        <w:t>e_mail@address</w:t>
      </w:r>
      <w:r>
        <w:rPr>
          <w:rStyle w:val="Hyperlink"/>
          <w:color w:val="auto"/>
          <w:u w:val="none"/>
        </w:rPr>
        <w:t>, ORCID: 0000-0000-00000-0000,</w:t>
      </w:r>
    </w:p>
    <w:p>
      <w:pPr>
        <w:pStyle w:val="Authors"/>
        <w:rPr>
          <w:b/>
          <w:sz w:val="32"/>
          <w:szCs w:val="32"/>
        </w:rPr>
      </w:pPr>
      <w:r>
        <w:rPr>
          <w:rStyle w:val="Hyperlink"/>
          <w:color w:val="auto"/>
          <w:u w:val="none"/>
          <w:lang w:val="en-US"/>
        </w:rPr>
        <w:t>Ass</w:t>
      </w:r>
      <w:r>
        <w:rPr>
          <w:rStyle w:val="Hyperlink"/>
          <w:color w:val="auto"/>
          <w:u w:val="none"/>
        </w:rPr>
        <w:t>.</w:t>
      </w:r>
      <w:r>
        <w:rPr>
          <w:rStyle w:val="Hyperlink"/>
          <w:color w:val="auto"/>
          <w:u w:val="none"/>
          <w:lang w:val="en-US"/>
        </w:rPr>
        <w:t xml:space="preserve"> prof</w:t>
      </w:r>
      <w:r>
        <w:rPr>
          <w:rStyle w:val="Hyperlink"/>
          <w:color w:val="auto"/>
          <w:u w:val="none"/>
        </w:rPr>
        <w:t xml:space="preserve"> </w:t>
      </w:r>
      <w:r>
        <w:rPr>
          <w:b/>
        </w:rPr>
        <w:t>Name Surname,</w:t>
      </w:r>
    </w:p>
    <w:p>
      <w:pPr>
        <w:pStyle w:val="Authors"/>
        <w:rPr>
          <w:rStyle w:val="Hyperlink"/>
          <w:color w:val="auto"/>
          <w:u w:val="none"/>
        </w:rPr>
      </w:pPr>
      <w:r>
        <w:rPr/>
        <w:t>e_mail@address</w:t>
      </w:r>
      <w:r>
        <w:rPr>
          <w:rStyle w:val="Hyperlink"/>
          <w:color w:val="auto"/>
          <w:u w:val="none"/>
        </w:rPr>
        <w:t>, ORCID: 0000-0000-00000-0000,</w:t>
      </w:r>
    </w:p>
    <w:p>
      <w:pPr>
        <w:pStyle w:val="Authors"/>
        <w:rPr/>
      </w:pPr>
      <w:r>
        <w:rPr>
          <w:lang w:val="en-US"/>
        </w:rPr>
        <w:t>Full English organization name, where all authors above are emplyed</w:t>
      </w:r>
    </w:p>
    <w:p>
      <w:pPr>
        <w:pStyle w:val="Authors"/>
        <w:rPr/>
      </w:pPr>
      <w:r>
        <w:rPr>
          <w:bCs w:val="false"/>
          <w:lang w:val="en-US"/>
        </w:rPr>
        <w:t>Eng</w:t>
      </w:r>
      <w:r>
        <w:rPr>
          <w:bCs w:val="false"/>
        </w:rPr>
        <w:t>.</w:t>
      </w:r>
      <w:r>
        <w:rPr>
          <w:b/>
        </w:rPr>
        <w:t xml:space="preserve"> Name Surname,</w:t>
      </w:r>
    </w:p>
    <w:p>
      <w:pPr>
        <w:pStyle w:val="Authors"/>
        <w:rPr>
          <w:rStyle w:val="Hyperlink"/>
          <w:color w:val="auto"/>
          <w:u w:val="none"/>
        </w:rPr>
      </w:pPr>
      <w:r>
        <w:rPr/>
        <w:t>e_mail@address</w:t>
      </w:r>
      <w:r>
        <w:rPr>
          <w:rStyle w:val="Hyperlink"/>
          <w:color w:val="auto"/>
          <w:u w:val="none"/>
        </w:rPr>
        <w:t>, ORCID: 0000-0000-00000-0000,</w:t>
      </w:r>
    </w:p>
    <w:p>
      <w:pPr>
        <w:pStyle w:val="Normal"/>
        <w:tabs>
          <w:tab w:val="clear" w:pos="709"/>
          <w:tab w:val="left" w:pos="7888" w:leader="none"/>
        </w:tabs>
        <w:ind w:firstLine="851"/>
        <w:jc w:val="right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Full English</w:t>
      </w:r>
      <w:r>
        <w:rPr>
          <w:rFonts w:cs="Times New Roman"/>
          <w:bCs/>
          <w:szCs w:val="28"/>
          <w:lang w:val="en-US"/>
        </w:rPr>
        <w:t xml:space="preserve"> name of other</w:t>
      </w:r>
      <w:r>
        <w:rPr>
          <w:rFonts w:cs="Times New Roman"/>
          <w:bCs/>
          <w:szCs w:val="28"/>
        </w:rPr>
        <w:t xml:space="preserve"> organization</w:t>
      </w:r>
    </w:p>
    <w:p>
      <w:pPr>
        <w:pStyle w:val="Normal"/>
        <w:tabs>
          <w:tab w:val="clear" w:pos="709"/>
          <w:tab w:val="left" w:pos="7888" w:leader="none"/>
        </w:tabs>
        <w:ind w:firstLine="851"/>
        <w:jc w:val="right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</w:r>
    </w:p>
    <w:p>
      <w:pPr>
        <w:pStyle w:val="Authors"/>
        <w:rPr/>
      </w:pPr>
      <w:r>
        <w:rPr/>
        <w:t>…</w:t>
      </w:r>
    </w:p>
    <w:p>
      <w:pPr>
        <w:pStyle w:val="Normal"/>
        <w:rPr>
          <w:rFonts w:cs="Times New Roman"/>
          <w:szCs w:val="28"/>
        </w:rPr>
      </w:pPr>
      <w:r>
        <w:rPr>
          <w:rFonts w:cs="Times New Roman"/>
          <w:szCs w:val="28"/>
        </w:rPr>
      </w:r>
    </w:p>
    <w:p>
      <w:pPr>
        <w:pStyle w:val="Title"/>
        <w:rPr/>
      </w:pPr>
      <w:r>
        <w:rPr>
          <w:lang w:val="en-US"/>
        </w:rPr>
        <w:t>Article</w:t>
      </w:r>
      <w:r>
        <w:rPr/>
        <w:t xml:space="preserve"> </w:t>
      </w:r>
      <w:r>
        <w:rPr>
          <w:lang w:val="en-US"/>
        </w:rPr>
        <w:t>Name</w:t>
      </w:r>
      <w:r>
        <w:rPr/>
        <w:t xml:space="preserve"> </w:t>
      </w:r>
      <w:r>
        <w:rPr>
          <w:lang w:val="en-US"/>
        </w:rPr>
        <w:t>without</w:t>
      </w:r>
      <w:r>
        <w:rPr/>
        <w:t xml:space="preserve"> </w:t>
      </w:r>
      <w:r>
        <w:rPr>
          <w:lang w:val="en-US"/>
        </w:rPr>
        <w:t>final</w:t>
      </w:r>
      <w:r>
        <w:rPr/>
        <w:t xml:space="preserve"> </w:t>
      </w:r>
      <w:r>
        <w:rPr>
          <w:lang w:val="en-US"/>
        </w:rPr>
        <w:t>point</w:t>
      </w:r>
    </w:p>
    <w:p>
      <w:pPr>
        <w:pStyle w:val="Normal"/>
        <w:tabs>
          <w:tab w:val="clear" w:pos="709"/>
          <w:tab w:val="left" w:pos="7888" w:leader="none"/>
        </w:tabs>
        <w:rPr>
          <w:rFonts w:cs="Times New Roman"/>
          <w:i/>
          <w:i/>
          <w:szCs w:val="28"/>
        </w:rPr>
      </w:pPr>
      <w:r>
        <w:rPr>
          <w:rFonts w:cs="Times New Roman"/>
          <w:i/>
          <w:szCs w:val="28"/>
        </w:rPr>
      </w:r>
    </w:p>
    <w:p>
      <w:pPr>
        <w:pStyle w:val="Abstract"/>
        <w:rPr>
          <w:iCs/>
        </w:rPr>
      </w:pPr>
      <w:r>
        <w:rPr/>
        <w:t>Наводиться розширена анотація англійською мовою обсягом не менше 1800 знаків. Якщо переклад української анотації містить 1800 знаків і більше, можна навести її переклад без розширення. Приймається британський або американський варіанти англійської мови. Не допускається змішування обох варіантів. Якщо автори недостатньо володіють мовою, можна навести машинний переклад будь-яким перекладачем і відмітити його маркером будь-якого кольору. Якщо статтю наведено англійською мовою, наводять українську розширену анотацію за тими ж правилами.</w:t>
      </w:r>
    </w:p>
    <w:p>
      <w:pPr>
        <w:pStyle w:val="Abstract"/>
        <w:rPr>
          <w:lang w:val="ru-RU"/>
        </w:rPr>
      </w:pPr>
      <w:r>
        <w:rPr>
          <w:lang w:val="en-US"/>
        </w:rPr>
        <w:t>Keywords</w:t>
      </w:r>
      <w:r>
        <w:rPr/>
        <w:t xml:space="preserve">: Точний переклад ключових слів. </w:t>
      </w:r>
      <w:r>
        <w:rPr>
          <w:lang w:val="ru-RU"/>
        </w:rPr>
        <w:t>Якщо два ключових слова перекладаються однаково, наводять лише один переклад. Якщо одне ключове слово має кілька різних перекладів, які відповідають змісту статті, допускається навести кілька перекладів як різні ключові слова.</w:t>
      </w:r>
    </w:p>
    <w:p>
      <w:pPr>
        <w:pStyle w:val="Normal"/>
        <w:tabs>
          <w:tab w:val="clear" w:pos="709"/>
          <w:tab w:val="left" w:pos="7888" w:leader="none"/>
        </w:tabs>
        <w:ind w:firstLine="851"/>
        <w:jc w:val="right"/>
        <w:rPr>
          <w:rFonts w:cs="Times New Roman"/>
          <w:szCs w:val="28"/>
          <w:shd w:fill="FFFFFF" w:val="clear"/>
        </w:rPr>
      </w:pPr>
      <w:r>
        <w:rPr>
          <w:rFonts w:cs="Times New Roman"/>
          <w:szCs w:val="28"/>
          <w:shd w:fill="FFFFFF" w:val="clear"/>
        </w:rPr>
      </w:r>
    </w:p>
    <w:sectPr>
      <w:type w:val="nextPage"/>
      <w:pgSz w:w="11906" w:h="16838"/>
      <w:pgMar w:left="1134" w:right="1134" w:gutter="0" w:header="0" w:top="1418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612d8"/>
    <w:pPr>
      <w:widowControl/>
      <w:bidi w:val="0"/>
      <w:spacing w:lineRule="exact" w:line="360" w:before="0" w:after="0"/>
      <w:ind w:firstLine="567"/>
      <w:jc w:val="both"/>
    </w:pPr>
    <w:rPr>
      <w:rFonts w:ascii="Times New Roman" w:hAnsi="Times New Roman" w:eastAsia="Calibri" w:cs="" w:cstheme="minorBidi" w:eastAsiaTheme="minorHAnsi"/>
      <w:color w:val="auto"/>
      <w:kern w:val="2"/>
      <w:sz w:val="28"/>
      <w:szCs w:val="22"/>
      <w:lang w:val="uk-UA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Unknown" w:customStyle="1">
    <w:name w:val="unknown"/>
    <w:qFormat/>
    <w:rsid w:val="00cc4941"/>
    <w:rPr/>
  </w:style>
  <w:style w:type="character" w:styleId="Variant" w:customStyle="1">
    <w:name w:val="variant"/>
    <w:qFormat/>
    <w:rsid w:val="00cc4941"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c4941"/>
    <w:rPr>
      <w:rFonts w:ascii="Tahoma" w:hAnsi="Tahoma" w:cs="Tahoma"/>
      <w:kern w:val="0"/>
      <w:sz w:val="16"/>
      <w:szCs w:val="16"/>
      <w:lang w:val="uk-UA"/>
      <w14:ligatures w14:val="none"/>
    </w:rPr>
  </w:style>
  <w:style w:type="character" w:styleId="PlaceholderText">
    <w:name w:val="Placeholder Text"/>
    <w:basedOn w:val="DefaultParagraphFont"/>
    <w:uiPriority w:val="99"/>
    <w:semiHidden/>
    <w:qFormat/>
    <w:rsid w:val="00cc494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c4941"/>
    <w:rPr>
      <w:color w:themeColor="hyperlink" w:val="0563C1"/>
      <w:u w:val="single"/>
    </w:rPr>
  </w:style>
  <w:style w:type="character" w:styleId="Hgkelc" w:customStyle="1">
    <w:name w:val="hgkelc"/>
    <w:basedOn w:val="DefaultParagraphFont"/>
    <w:qFormat/>
    <w:rsid w:val="00cc4941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cc4941"/>
    <w:rPr>
      <w:color w:val="605E5C"/>
      <w:shd w:fill="E1DFDD" w:val="clear"/>
    </w:rPr>
  </w:style>
  <w:style w:type="character" w:styleId="HeaderChar" w:customStyle="1">
    <w:name w:val="Header Char"/>
    <w:basedOn w:val="DefaultParagraphFont"/>
    <w:uiPriority w:val="99"/>
    <w:qFormat/>
    <w:rsid w:val="00cc4941"/>
    <w:rPr>
      <w:kern w:val="0"/>
      <w14:ligatures w14:val="none"/>
    </w:rPr>
  </w:style>
  <w:style w:type="character" w:styleId="FooterChar" w:customStyle="1">
    <w:name w:val="Footer Char"/>
    <w:basedOn w:val="DefaultParagraphFont"/>
    <w:uiPriority w:val="99"/>
    <w:qFormat/>
    <w:rsid w:val="00cc4941"/>
    <w:rPr>
      <w:kern w:val="0"/>
      <w14:ligatures w14:val="none"/>
    </w:rPr>
  </w:style>
  <w:style w:type="character" w:styleId="TitleChar" w:customStyle="1">
    <w:name w:val="Title Char"/>
    <w:basedOn w:val="DefaultParagraphFont"/>
    <w:uiPriority w:val="10"/>
    <w:qFormat/>
    <w:rsid w:val="000a0d71"/>
    <w:rPr>
      <w:rFonts w:ascii="Times New Roman" w:hAnsi="Times New Roman" w:cs="Times New Roman"/>
      <w:b/>
      <w:caps/>
      <w:sz w:val="28"/>
      <w:szCs w:val="28"/>
      <w:lang w:val="uk-UA"/>
    </w:rPr>
  </w:style>
  <w:style w:type="character" w:styleId="Style14">
    <w:name w:val="Символи виноски"/>
    <w:qFormat/>
    <w:rsid w:val="003b2925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TextChar" w:customStyle="1">
    <w:name w:val="Footnote Text Char"/>
    <w:basedOn w:val="DefaultParagraphFont"/>
    <w:qFormat/>
    <w:rsid w:val="003b2925"/>
    <w:rPr>
      <w:rFonts w:ascii="Times New Roman" w:hAnsi="Times New Roman" w:eastAsia="SimSun" w:cs="Arial Unicode MS"/>
      <w:sz w:val="18"/>
      <w:szCs w:val="20"/>
      <w:lang w:val="uk-UA" w:eastAsia="zh-CN" w:bidi="hi-IN"/>
      <w14:ligatures w14:val="none"/>
    </w:rPr>
  </w:style>
  <w:style w:type="character" w:styleId="FollowedHyperlink">
    <w:name w:val="FollowedHyperlink"/>
    <w:rPr>
      <w:color w:val="954F72"/>
      <w:u w:val="single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6">
    <w:name w:val="Покажчик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cc4941"/>
    <w:pPr>
      <w:spacing w:before="0" w:after="0"/>
      <w:ind w:left="720"/>
      <w:contextualSpacing/>
    </w:pPr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c4941"/>
    <w:pPr>
      <w:spacing w:lineRule="auto" w:line="240"/>
    </w:pPr>
    <w:rPr>
      <w:rFonts w:ascii="Tahoma" w:hAnsi="Tahoma" w:cs="Tahoma"/>
      <w:kern w:val="0"/>
      <w:sz w:val="16"/>
      <w:szCs w:val="16"/>
      <w14:ligatures w14:val="none"/>
    </w:rPr>
  </w:style>
  <w:style w:type="paragraph" w:styleId="Authors" w:customStyle="1">
    <w:name w:val="Authors"/>
    <w:basedOn w:val="Normal"/>
    <w:qFormat/>
    <w:rsid w:val="00220c6b"/>
    <w:pPr>
      <w:tabs>
        <w:tab w:val="clear" w:pos="709"/>
        <w:tab w:val="right" w:pos="9638" w:leader="none"/>
      </w:tabs>
      <w:jc w:val="right"/>
    </w:pPr>
    <w:rPr>
      <w:rFonts w:cs="Times New Roman"/>
      <w:bCs/>
      <w:szCs w:val="28"/>
    </w:rPr>
  </w:style>
  <w:style w:type="paragraph" w:styleId="Abstract" w:customStyle="1">
    <w:name w:val="Abstract"/>
    <w:basedOn w:val="Normal"/>
    <w:qFormat/>
    <w:rsid w:val="000a0d71"/>
    <w:pPr/>
    <w:rPr>
      <w:rFonts w:cs="Times New Roman"/>
      <w:i/>
      <w:szCs w:val="28"/>
    </w:rPr>
  </w:style>
  <w:style w:type="paragraph" w:styleId="Msonormal" w:customStyle="1">
    <w:name w:val="msonormal"/>
    <w:basedOn w:val="Normal"/>
    <w:qFormat/>
    <w:rsid w:val="00cc4941"/>
    <w:pPr>
      <w:spacing w:lineRule="auto" w:line="240" w:beforeAutospacing="1" w:afterAutospacing="1"/>
    </w:pPr>
    <w:rPr>
      <w:rFonts w:eastAsia="Times New Roman" w:cs="Times New Roman"/>
      <w:kern w:val="0"/>
      <w:sz w:val="24"/>
      <w:szCs w:val="24"/>
      <w:lang w:val="en-US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cc4941"/>
    <w:pPr>
      <w:spacing w:lineRule="auto" w:line="240" w:beforeAutospacing="1" w:afterAutospacing="1"/>
    </w:pPr>
    <w:rPr>
      <w:rFonts w:eastAsia="Times New Roman" w:cs="Times New Roman"/>
      <w:kern w:val="0"/>
      <w:sz w:val="24"/>
      <w:szCs w:val="24"/>
      <w:lang w:val="en-US"/>
      <w14:ligatures w14:val="none"/>
    </w:rPr>
  </w:style>
  <w:style w:type="paragraph" w:styleId="Style17">
    <w:name w:val="Верхній і нижній колонтитули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c4941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c4941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>
      <w:kern w:val="0"/>
      <w14:ligatures w14:val="none"/>
    </w:rPr>
  </w:style>
  <w:style w:type="paragraph" w:styleId="UDC" w:customStyle="1">
    <w:name w:val="UDC"/>
    <w:next w:val="Authors"/>
    <w:qFormat/>
    <w:rsid w:val="00220c6b"/>
    <w:pPr>
      <w:widowControl/>
      <w:tabs>
        <w:tab w:val="clear" w:pos="709"/>
        <w:tab w:val="right" w:pos="9639" w:leader="none"/>
      </w:tabs>
      <w:bidi w:val="0"/>
      <w:spacing w:lineRule="exact" w:line="360" w:before="0" w:after="0"/>
      <w:jc w:val="left"/>
    </w:pPr>
    <w:rPr>
      <w:rFonts w:ascii="Times New Roman" w:hAnsi="Times New Roman" w:cs="Times New Roman" w:eastAsia="Calibri" w:eastAsiaTheme="minorHAnsi"/>
      <w:bCs/>
      <w:color w:val="auto"/>
      <w:kern w:val="2"/>
      <w:sz w:val="28"/>
      <w:szCs w:val="28"/>
      <w:lang w:val="uk-UA" w:eastAsia="en-US" w:bidi="ar-SA"/>
      <w14:ligatures w14:val="standardContextual"/>
    </w:rPr>
  </w:style>
  <w:style w:type="paragraph" w:styleId="Title">
    <w:name w:val="Title"/>
    <w:basedOn w:val="Normal"/>
    <w:next w:val="Normal"/>
    <w:link w:val="TitleChar"/>
    <w:uiPriority w:val="10"/>
    <w:qFormat/>
    <w:rsid w:val="000a0d71"/>
    <w:pPr>
      <w:jc w:val="center"/>
    </w:pPr>
    <w:rPr>
      <w:rFonts w:cs="Times New Roman"/>
      <w:b/>
      <w:caps/>
      <w:szCs w:val="28"/>
    </w:rPr>
  </w:style>
  <w:style w:type="paragraph" w:styleId="07Where" w:customStyle="1">
    <w:name w:val="07. Where"/>
    <w:basedOn w:val="Normal"/>
    <w:next w:val="Normal"/>
    <w:qFormat/>
    <w:rsid w:val="00a10e30"/>
    <w:pPr>
      <w:widowControl w:val="false"/>
      <w:spacing w:lineRule="auto" w:line="240"/>
    </w:pPr>
    <w:rPr>
      <w:rFonts w:eastAsia="SimSun" w:cs="Arial Unicode MS"/>
      <w:szCs w:val="24"/>
      <w:lang w:eastAsia="zh-CN" w:bidi="hi-IN"/>
      <w14:ligatures w14:val="none"/>
    </w:rPr>
  </w:style>
  <w:style w:type="paragraph" w:styleId="07EquationNo" w:customStyle="1">
    <w:name w:val="07. Equation No"/>
    <w:basedOn w:val="Normal"/>
    <w:qFormat/>
    <w:rsid w:val="00a10e30"/>
    <w:pPr>
      <w:widowControl w:val="false"/>
      <w:suppressAutoHyphens w:val="true"/>
      <w:spacing w:lineRule="auto" w:line="240"/>
      <w:ind w:left="-113"/>
      <w:jc w:val="right"/>
    </w:pPr>
    <w:rPr>
      <w:rFonts w:eastAsia="SimSun" w:cs="Arial Unicode MS"/>
      <w:szCs w:val="24"/>
      <w:lang w:eastAsia="zh-CN" w:bidi="hi-IN"/>
      <w14:ligatures w14:val="none"/>
    </w:rPr>
  </w:style>
  <w:style w:type="paragraph" w:styleId="Equation" w:customStyle="1">
    <w:name w:val="Equation"/>
    <w:basedOn w:val="Normal"/>
    <w:qFormat/>
    <w:rsid w:val="00517f47"/>
    <w:pPr>
      <w:tabs>
        <w:tab w:val="clear" w:pos="709"/>
        <w:tab w:val="center" w:pos="4820" w:leader="none"/>
        <w:tab w:val="right" w:pos="9638" w:leader="none"/>
      </w:tabs>
      <w:spacing w:lineRule="auto" w:line="240" w:before="100" w:after="100"/>
      <w:ind w:hanging="0"/>
    </w:pPr>
    <w:rPr>
      <w:rFonts w:eastAsia="Times New Roman" w:cs="Times New Roman"/>
      <w:color w:val="000000"/>
      <w:szCs w:val="28"/>
      <w:lang w:val="ru-RU"/>
    </w:rPr>
  </w:style>
  <w:style w:type="paragraph" w:styleId="Where" w:customStyle="1">
    <w:name w:val="Where"/>
    <w:basedOn w:val="Normal"/>
    <w:qFormat/>
    <w:rsid w:val="000c621e"/>
    <w:pPr>
      <w:ind w:hanging="0"/>
    </w:pPr>
    <w:rPr>
      <w:rFonts w:eastAsia="" w:cs="Times New Roman" w:eastAsiaTheme="minorEastAsia"/>
      <w:szCs w:val="28"/>
    </w:rPr>
  </w:style>
  <w:style w:type="paragraph" w:styleId="07Figure" w:customStyle="1">
    <w:name w:val="07. Figure"/>
    <w:basedOn w:val="Normal"/>
    <w:qFormat/>
    <w:rsid w:val="00655e2a"/>
    <w:pPr>
      <w:keepNext w:val="true"/>
      <w:keepLines/>
      <w:widowControl w:val="false"/>
      <w:suppressAutoHyphens w:val="true"/>
      <w:spacing w:lineRule="auto" w:line="240"/>
      <w:ind w:hanging="0"/>
      <w:jc w:val="center"/>
    </w:pPr>
    <w:rPr>
      <w:rFonts w:eastAsia="SimSun" w:cs="Arial Unicode MS"/>
      <w:szCs w:val="24"/>
      <w:lang w:eastAsia="zh-CN" w:bidi="hi-IN"/>
      <w14:ligatures w14:val="none"/>
    </w:rPr>
  </w:style>
  <w:style w:type="paragraph" w:styleId="07FigureCaption" w:customStyle="1">
    <w:name w:val="07. Figure Caption"/>
    <w:basedOn w:val="Normal"/>
    <w:next w:val="Normal"/>
    <w:qFormat/>
    <w:rsid w:val="001232af"/>
    <w:pPr>
      <w:widowControl w:val="false"/>
      <w:ind w:hanging="0"/>
      <w:jc w:val="center"/>
    </w:pPr>
    <w:rPr>
      <w:rFonts w:eastAsia="SimSun" w:cs="Arial Unicode MS"/>
      <w:szCs w:val="24"/>
      <w:lang w:eastAsia="zh-CN" w:bidi="hi-IN"/>
      <w14:ligatures w14:val="none"/>
    </w:rPr>
  </w:style>
  <w:style w:type="paragraph" w:styleId="FootnoteText">
    <w:name w:val="Footnote Text"/>
    <w:basedOn w:val="Normal"/>
    <w:link w:val="FootnoteTextChar"/>
    <w:rsid w:val="003b2925"/>
    <w:pPr>
      <w:widowControl w:val="false"/>
      <w:suppressLineNumbers/>
      <w:spacing w:lineRule="auto" w:line="240"/>
      <w:ind w:hanging="339" w:left="339"/>
    </w:pPr>
    <w:rPr>
      <w:rFonts w:eastAsia="SimSun" w:cs="Arial Unicode MS"/>
      <w:sz w:val="18"/>
      <w:szCs w:val="20"/>
      <w:lang w:eastAsia="zh-CN" w:bidi="hi-IN"/>
      <w14:ligatures w14:val="none"/>
    </w:rPr>
  </w:style>
  <w:style w:type="paragraph" w:styleId="07TableText" w:customStyle="1">
    <w:name w:val="07. Table Text"/>
    <w:basedOn w:val="Normal"/>
    <w:qFormat/>
    <w:rsid w:val="005612d4"/>
    <w:pPr>
      <w:keepLines/>
      <w:widowControl w:val="false"/>
      <w:ind w:hanging="0" w:left="-28" w:right="-28"/>
      <w:jc w:val="center"/>
    </w:pPr>
    <w:rPr>
      <w:rFonts w:eastAsia="SimSun" w:cs="Arial Unicode MS"/>
      <w:szCs w:val="24"/>
      <w:lang w:eastAsia="zh-CN" w:bidi="hi-IN"/>
      <w14:ligatures w14:val="none"/>
    </w:rPr>
  </w:style>
  <w:style w:type="paragraph" w:styleId="07TableNo" w:customStyle="1">
    <w:name w:val="07. Table No"/>
    <w:basedOn w:val="Normal"/>
    <w:qFormat/>
    <w:rsid w:val="00655e2a"/>
    <w:pPr>
      <w:keepNext w:val="true"/>
      <w:keepLines/>
      <w:widowControl w:val="false"/>
      <w:suppressAutoHyphens w:val="true"/>
      <w:spacing w:lineRule="auto" w:line="240"/>
      <w:ind w:hanging="0"/>
      <w:jc w:val="right"/>
    </w:pPr>
    <w:rPr>
      <w:rFonts w:eastAsia="SimSun" w:cs="Arial Unicode MS"/>
      <w:szCs w:val="24"/>
      <w:lang w:eastAsia="zh-CN" w:bidi="hi-IN"/>
      <w14:ligatures w14:val="none"/>
    </w:rPr>
  </w:style>
  <w:style w:type="paragraph" w:styleId="07TableCaption" w:customStyle="1">
    <w:name w:val="07. Table Caption"/>
    <w:basedOn w:val="Normal"/>
    <w:qFormat/>
    <w:rsid w:val="00655e2a"/>
    <w:pPr>
      <w:keepNext w:val="true"/>
      <w:keepLines/>
      <w:widowControl w:val="false"/>
      <w:suppressAutoHyphens w:val="true"/>
      <w:ind w:hanging="0"/>
      <w:jc w:val="center"/>
    </w:pPr>
    <w:rPr>
      <w:rFonts w:eastAsia="SimSun" w:cs="Arial Unicode MS"/>
      <w:szCs w:val="24"/>
      <w:lang w:eastAsia="zh-CN" w:bidi="hi-IN"/>
      <w14:ligatures w14:val="none"/>
    </w:rPr>
  </w:style>
  <w:style w:type="paragraph" w:styleId="07TableCont" w:customStyle="1">
    <w:name w:val="07. Table Cont."/>
    <w:basedOn w:val="07TableNo"/>
    <w:qFormat/>
    <w:rsid w:val="005612d4"/>
    <w:pPr>
      <w:keepNext w:val="false"/>
      <w:keepLines w:val="false"/>
      <w:jc w:val="center"/>
    </w:pPr>
    <w:rPr/>
  </w:style>
  <w:style w:type="paragraph" w:styleId="07TableColumnNo" w:customStyle="1">
    <w:name w:val="07. Table Column No"/>
    <w:basedOn w:val="Normal"/>
    <w:qFormat/>
    <w:rsid w:val="001232af"/>
    <w:pPr>
      <w:keepNext w:val="true"/>
      <w:keepLines/>
      <w:widowControl w:val="false"/>
      <w:suppressAutoHyphens w:val="true"/>
      <w:spacing w:lineRule="auto" w:line="240"/>
      <w:ind w:hanging="0" w:left="-113" w:right="-113"/>
      <w:jc w:val="center"/>
    </w:pPr>
    <w:rPr>
      <w:rFonts w:eastAsia="SimSun" w:cs="Arial Unicode MS"/>
      <w:sz w:val="18"/>
      <w:szCs w:val="24"/>
      <w:lang w:eastAsia="zh-CN" w:bidi="hi-IN"/>
      <w14:ligatures w14:val="none"/>
    </w:rPr>
  </w:style>
  <w:style w:type="paragraph" w:styleId="07Notes" w:customStyle="1">
    <w:name w:val="07. Notes"/>
    <w:basedOn w:val="Normal"/>
    <w:qFormat/>
    <w:rsid w:val="001232af"/>
    <w:pPr>
      <w:widowControl w:val="false"/>
      <w:spacing w:lineRule="auto" w:line="240"/>
      <w:ind w:hanging="0"/>
    </w:pPr>
    <w:rPr>
      <w:rFonts w:eastAsia="SimSun" w:cs="Arial Unicode MS"/>
      <w:sz w:val="18"/>
      <w:szCs w:val="24"/>
      <w:lang w:eastAsia="zh-CN" w:bidi="hi-IN"/>
      <w14:ligatures w14:val="none"/>
    </w:rPr>
  </w:style>
  <w:style w:type="paragraph" w:styleId="Style18" w:customStyle="1">
    <w:name w:val="Style1"/>
    <w:basedOn w:val="07TableCont"/>
    <w:qFormat/>
    <w:rsid w:val="005612d4"/>
    <w:pPr>
      <w:suppressAutoHyphens w:val="false"/>
    </w:pPr>
    <w:rPr/>
  </w:style>
  <w:style w:type="paragraph" w:styleId="BodyTextIndent2">
    <w:name w:val="Body Text Indent 2"/>
    <w:basedOn w:val="Normal"/>
    <w:qFormat/>
    <w:pPr>
      <w:spacing w:lineRule="auto" w:line="480" w:before="0" w:after="120"/>
      <w:ind w:left="283"/>
    </w:pPr>
    <w:rPr>
      <w:rFonts w:ascii="Calibri" w:hAnsi="Calibri" w:eastAsia="Times New Roman" w:cs="Times New Roman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c4941"/>
    <w:pPr>
      <w:spacing w:after="0" w:line="240" w:lineRule="auto"/>
    </w:pPr>
    <w:rPr>
      <w:lang w:val="uk-U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yperlink" Target="https://doi.org/10.17512/bozpe.2023.12.08" TargetMode="External"/><Relationship Id="rId5" Type="http://schemas.openxmlformats.org/officeDocument/2006/relationships/hyperlink" Target="" TargetMode="External"/><Relationship Id="rId6" Type="http://schemas.openxmlformats.org/officeDocument/2006/relationships/hyperlink" Target="https://decentralization.gov.ua/news/16666" TargetMode="External"/><Relationship Id="rId7" Type="http://schemas.openxmlformats.org/officeDocument/2006/relationships/hyperlink" Target="https://vents.ua/opredelenie-neobhodimosti-vozduhoobmena/" TargetMode="External"/><Relationship Id="rId8" Type="http://schemas.openxmlformats.org/officeDocument/2006/relationships/hyperlink" Target="https://web.archive.org/" TargetMode="Externa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27213-1717-427F-9B50-41C224FD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LibreOffice/7.6.4.1$Linux_X86_64 LibreOffice_project/60$Build-1</Application>
  <AppVersion>15.0000</AppVersion>
  <Pages>9</Pages>
  <Words>1795</Words>
  <Characters>11389</Characters>
  <CharactersWithSpaces>13017</CharactersWithSpaces>
  <Paragraphs>251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2023-10-27T14:02:00Z</dcterms:created>
  <dc:creator>Москвітіна Анна Сергіївна</dc:creator>
  <dc:description/>
  <dc:language>uk-UA</dc:language>
  <cp:lastModifiedBy/>
  <dcterms:modified xsi:type="dcterms:W3CDTF">2024-01-04T13:29:01Z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